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53297" w14:textId="77777777" w:rsidR="00B478A2" w:rsidRDefault="00B478A2" w:rsidP="00B478A2">
      <w:pPr>
        <w:pStyle w:val="Heading2"/>
      </w:pPr>
      <w:bookmarkStart w:id="0" w:name="_Toc70076525"/>
      <w:r w:rsidRPr="00FF3072">
        <w:t>Module 1: Introduction to the Irish Legal System</w:t>
      </w:r>
      <w:bookmarkEnd w:id="0"/>
    </w:p>
    <w:p w14:paraId="29B2B8B4" w14:textId="77777777" w:rsidR="00B478A2" w:rsidRPr="00B37334" w:rsidRDefault="00B478A2" w:rsidP="00B478A2"/>
    <w:tbl>
      <w:tblPr>
        <w:tblStyle w:val="TableGrid"/>
        <w:tblW w:w="5000" w:type="pct"/>
        <w:tblInd w:w="0" w:type="dxa"/>
        <w:tblLook w:val="04A0" w:firstRow="1" w:lastRow="0" w:firstColumn="1" w:lastColumn="0" w:noHBand="0" w:noVBand="1"/>
      </w:tblPr>
      <w:tblGrid>
        <w:gridCol w:w="2231"/>
        <w:gridCol w:w="755"/>
        <w:gridCol w:w="953"/>
        <w:gridCol w:w="1973"/>
        <w:gridCol w:w="1197"/>
        <w:gridCol w:w="353"/>
        <w:gridCol w:w="1548"/>
      </w:tblGrid>
      <w:tr w:rsidR="00B478A2" w:rsidRPr="00C91F09" w14:paraId="54F3772E" w14:textId="77777777" w:rsidTr="00B54421">
        <w:tc>
          <w:tcPr>
            <w:tcW w:w="5000" w:type="pct"/>
            <w:gridSpan w:val="7"/>
            <w:shd w:val="clear" w:color="auto" w:fill="D9E2F3" w:themeFill="accent1" w:themeFillTint="33"/>
            <w:vAlign w:val="center"/>
          </w:tcPr>
          <w:p w14:paraId="48648FF5" w14:textId="77777777" w:rsidR="00B478A2" w:rsidRPr="00C91F09" w:rsidRDefault="00B478A2" w:rsidP="00B54421">
            <w:pPr>
              <w:rPr>
                <w:rFonts w:asciiTheme="minorHAnsi" w:hAnsiTheme="minorHAnsi" w:cstheme="minorHAnsi"/>
                <w:b/>
                <w:szCs w:val="22"/>
              </w:rPr>
            </w:pPr>
            <w:r w:rsidRPr="00C91F09">
              <w:rPr>
                <w:rFonts w:asciiTheme="minorHAnsi" w:hAnsiTheme="minorHAnsi" w:cstheme="minorHAnsi"/>
                <w:b/>
                <w:szCs w:val="22"/>
              </w:rPr>
              <w:t xml:space="preserve">Module title </w:t>
            </w:r>
          </w:p>
        </w:tc>
      </w:tr>
      <w:tr w:rsidR="00B478A2" w:rsidRPr="00C91F09" w14:paraId="1B09A1F3" w14:textId="77777777" w:rsidTr="00B54421">
        <w:tc>
          <w:tcPr>
            <w:tcW w:w="5000" w:type="pct"/>
            <w:gridSpan w:val="7"/>
            <w:tcBorders>
              <w:bottom w:val="single" w:sz="4" w:space="0" w:color="auto"/>
            </w:tcBorders>
            <w:vAlign w:val="center"/>
          </w:tcPr>
          <w:p w14:paraId="1B2FFD00" w14:textId="77777777" w:rsidR="00B478A2" w:rsidRPr="00C91F09" w:rsidRDefault="00B478A2" w:rsidP="00B54421">
            <w:pPr>
              <w:rPr>
                <w:rFonts w:asciiTheme="minorHAnsi" w:hAnsiTheme="minorHAnsi" w:cstheme="minorHAnsi"/>
                <w:szCs w:val="22"/>
              </w:rPr>
            </w:pPr>
            <w:r w:rsidRPr="00C91F09">
              <w:rPr>
                <w:rFonts w:asciiTheme="minorHAnsi" w:hAnsiTheme="minorHAnsi" w:cstheme="minorHAnsi"/>
                <w:szCs w:val="22"/>
              </w:rPr>
              <w:t>Introduction to the Irish Legal System</w:t>
            </w:r>
          </w:p>
        </w:tc>
      </w:tr>
      <w:tr w:rsidR="00B478A2" w:rsidRPr="00C91F09" w14:paraId="6E407E1E" w14:textId="77777777" w:rsidTr="00B54421">
        <w:tc>
          <w:tcPr>
            <w:tcW w:w="1657" w:type="pct"/>
            <w:gridSpan w:val="2"/>
            <w:shd w:val="clear" w:color="auto" w:fill="D9E2F3" w:themeFill="accent1" w:themeFillTint="33"/>
            <w:vAlign w:val="center"/>
          </w:tcPr>
          <w:p w14:paraId="5B969C8D" w14:textId="77777777" w:rsidR="00B478A2" w:rsidRPr="00C91F09" w:rsidRDefault="00B478A2" w:rsidP="00B54421">
            <w:pPr>
              <w:rPr>
                <w:rFonts w:asciiTheme="minorHAnsi" w:hAnsiTheme="minorHAnsi" w:cstheme="minorHAnsi"/>
                <w:b/>
                <w:szCs w:val="22"/>
              </w:rPr>
            </w:pPr>
            <w:r w:rsidRPr="00C91F09">
              <w:rPr>
                <w:rFonts w:asciiTheme="minorHAnsi" w:hAnsiTheme="minorHAnsi" w:cstheme="minorHAnsi"/>
                <w:b/>
                <w:szCs w:val="22"/>
              </w:rPr>
              <w:t xml:space="preserve">Module NFQ level </w:t>
            </w:r>
            <w:r w:rsidRPr="00C91F09">
              <w:rPr>
                <w:rFonts w:asciiTheme="minorHAnsi" w:hAnsiTheme="minorHAnsi" w:cstheme="minorHAnsi"/>
                <w:bCs/>
                <w:szCs w:val="22"/>
              </w:rPr>
              <w:t>(only if an NFQ level can be demonstrated)</w:t>
            </w:r>
          </w:p>
        </w:tc>
        <w:tc>
          <w:tcPr>
            <w:tcW w:w="1624" w:type="pct"/>
            <w:gridSpan w:val="2"/>
            <w:shd w:val="clear" w:color="auto" w:fill="D9E2F3" w:themeFill="accent1" w:themeFillTint="33"/>
            <w:vAlign w:val="center"/>
          </w:tcPr>
          <w:p w14:paraId="3C00ACAF" w14:textId="77777777" w:rsidR="00B478A2" w:rsidRPr="00C91F09" w:rsidRDefault="00B478A2" w:rsidP="00B54421">
            <w:pPr>
              <w:rPr>
                <w:rFonts w:asciiTheme="minorHAnsi" w:hAnsiTheme="minorHAnsi" w:cstheme="minorHAnsi"/>
                <w:b/>
                <w:szCs w:val="22"/>
              </w:rPr>
            </w:pPr>
            <w:r w:rsidRPr="00C91F09">
              <w:rPr>
                <w:rFonts w:asciiTheme="minorHAnsi" w:hAnsiTheme="minorHAnsi" w:cstheme="minorHAnsi"/>
                <w:b/>
                <w:szCs w:val="22"/>
              </w:rPr>
              <w:t>Module number / reference</w:t>
            </w:r>
          </w:p>
        </w:tc>
        <w:tc>
          <w:tcPr>
            <w:tcW w:w="860" w:type="pct"/>
            <w:gridSpan w:val="2"/>
            <w:shd w:val="clear" w:color="auto" w:fill="D9E2F3" w:themeFill="accent1" w:themeFillTint="33"/>
            <w:vAlign w:val="center"/>
          </w:tcPr>
          <w:p w14:paraId="00ED78CA" w14:textId="77777777" w:rsidR="00B478A2" w:rsidRPr="00C91F09" w:rsidRDefault="00B478A2" w:rsidP="00B54421">
            <w:pPr>
              <w:jc w:val="center"/>
              <w:rPr>
                <w:rFonts w:asciiTheme="minorHAnsi" w:hAnsiTheme="minorHAnsi" w:cstheme="minorHAnsi"/>
                <w:b/>
                <w:szCs w:val="22"/>
              </w:rPr>
            </w:pPr>
            <w:r w:rsidRPr="00C91F09">
              <w:rPr>
                <w:rFonts w:asciiTheme="minorHAnsi" w:hAnsiTheme="minorHAnsi" w:cstheme="minorHAnsi"/>
                <w:b/>
                <w:szCs w:val="22"/>
              </w:rPr>
              <w:t>ECTS Value</w:t>
            </w:r>
          </w:p>
        </w:tc>
        <w:tc>
          <w:tcPr>
            <w:tcW w:w="859" w:type="pct"/>
            <w:shd w:val="clear" w:color="auto" w:fill="D9E2F3" w:themeFill="accent1" w:themeFillTint="33"/>
            <w:vAlign w:val="center"/>
          </w:tcPr>
          <w:p w14:paraId="313F8E3D" w14:textId="77777777" w:rsidR="00B478A2" w:rsidRPr="00C91F09" w:rsidRDefault="00B478A2" w:rsidP="00B54421">
            <w:pPr>
              <w:jc w:val="center"/>
              <w:rPr>
                <w:rFonts w:asciiTheme="minorHAnsi" w:hAnsiTheme="minorHAnsi" w:cstheme="minorHAnsi"/>
                <w:b/>
                <w:szCs w:val="22"/>
              </w:rPr>
            </w:pPr>
            <w:r w:rsidRPr="00C91F09">
              <w:rPr>
                <w:rFonts w:asciiTheme="minorHAnsi" w:hAnsiTheme="minorHAnsi" w:cstheme="minorHAnsi"/>
                <w:b/>
                <w:szCs w:val="22"/>
              </w:rPr>
              <w:t>Duration</w:t>
            </w:r>
          </w:p>
        </w:tc>
      </w:tr>
      <w:tr w:rsidR="00B478A2" w:rsidRPr="00C91F09" w14:paraId="1A47F392" w14:textId="77777777" w:rsidTr="00B54421">
        <w:tc>
          <w:tcPr>
            <w:tcW w:w="1657" w:type="pct"/>
            <w:gridSpan w:val="2"/>
            <w:tcBorders>
              <w:top w:val="single" w:sz="4" w:space="0" w:color="auto"/>
              <w:bottom w:val="single" w:sz="4" w:space="0" w:color="auto"/>
            </w:tcBorders>
            <w:vAlign w:val="center"/>
          </w:tcPr>
          <w:p w14:paraId="3B3346F0" w14:textId="77777777" w:rsidR="00B478A2" w:rsidRPr="00C91F09" w:rsidRDefault="00B478A2" w:rsidP="00B54421">
            <w:pPr>
              <w:rPr>
                <w:rFonts w:asciiTheme="minorHAnsi" w:hAnsiTheme="minorHAnsi" w:cstheme="minorHAnsi"/>
                <w:color w:val="000000" w:themeColor="text1"/>
                <w:szCs w:val="22"/>
              </w:rPr>
            </w:pPr>
            <w:r w:rsidRPr="00C91F09">
              <w:rPr>
                <w:rFonts w:asciiTheme="minorHAnsi" w:hAnsiTheme="minorHAnsi" w:cstheme="minorHAnsi"/>
                <w:color w:val="000000" w:themeColor="text1"/>
                <w:szCs w:val="22"/>
              </w:rPr>
              <w:t>Level 7</w:t>
            </w:r>
          </w:p>
        </w:tc>
        <w:tc>
          <w:tcPr>
            <w:tcW w:w="1624" w:type="pct"/>
            <w:gridSpan w:val="2"/>
            <w:tcBorders>
              <w:top w:val="single" w:sz="4" w:space="0" w:color="auto"/>
              <w:bottom w:val="single" w:sz="4" w:space="0" w:color="auto"/>
            </w:tcBorders>
            <w:vAlign w:val="center"/>
          </w:tcPr>
          <w:p w14:paraId="393534FD" w14:textId="77777777" w:rsidR="00B478A2" w:rsidRPr="00C91F09" w:rsidRDefault="00B478A2" w:rsidP="00B54421">
            <w:pPr>
              <w:rPr>
                <w:rFonts w:asciiTheme="minorHAnsi" w:hAnsiTheme="minorHAnsi" w:cstheme="minorHAnsi"/>
                <w:color w:val="000000" w:themeColor="text1"/>
                <w:szCs w:val="22"/>
              </w:rPr>
            </w:pPr>
            <w:r w:rsidRPr="00C91F09">
              <w:rPr>
                <w:rFonts w:asciiTheme="minorHAnsi" w:hAnsiTheme="minorHAnsi" w:cstheme="minorHAnsi"/>
                <w:color w:val="000000" w:themeColor="text1"/>
                <w:szCs w:val="22"/>
              </w:rPr>
              <w:t>DLSP-IILS</w:t>
            </w:r>
          </w:p>
        </w:tc>
        <w:tc>
          <w:tcPr>
            <w:tcW w:w="860" w:type="pct"/>
            <w:gridSpan w:val="2"/>
            <w:tcBorders>
              <w:top w:val="single" w:sz="4" w:space="0" w:color="auto"/>
              <w:bottom w:val="single" w:sz="4" w:space="0" w:color="auto"/>
            </w:tcBorders>
            <w:vAlign w:val="center"/>
          </w:tcPr>
          <w:p w14:paraId="493E928B" w14:textId="77777777" w:rsidR="00B478A2" w:rsidRPr="00C91F09" w:rsidRDefault="00B478A2" w:rsidP="00B54421">
            <w:pPr>
              <w:jc w:val="center"/>
              <w:rPr>
                <w:rFonts w:asciiTheme="minorHAnsi" w:hAnsiTheme="minorHAnsi" w:cstheme="minorHAnsi"/>
                <w:bCs/>
                <w:color w:val="000000" w:themeColor="text1"/>
                <w:szCs w:val="22"/>
              </w:rPr>
            </w:pPr>
            <w:r w:rsidRPr="00C91F09">
              <w:rPr>
                <w:rFonts w:asciiTheme="minorHAnsi" w:hAnsiTheme="minorHAnsi" w:cstheme="minorHAnsi"/>
                <w:bCs/>
                <w:color w:val="000000" w:themeColor="text1"/>
                <w:szCs w:val="22"/>
              </w:rPr>
              <w:t>5 ECTS</w:t>
            </w:r>
          </w:p>
        </w:tc>
        <w:tc>
          <w:tcPr>
            <w:tcW w:w="859" w:type="pct"/>
            <w:tcBorders>
              <w:top w:val="single" w:sz="4" w:space="0" w:color="auto"/>
              <w:bottom w:val="single" w:sz="4" w:space="0" w:color="auto"/>
            </w:tcBorders>
            <w:vAlign w:val="center"/>
          </w:tcPr>
          <w:p w14:paraId="0088C706" w14:textId="77777777" w:rsidR="00B478A2" w:rsidRPr="00C91F09" w:rsidRDefault="00B478A2" w:rsidP="00B54421">
            <w:pPr>
              <w:jc w:val="center"/>
              <w:rPr>
                <w:rFonts w:asciiTheme="minorHAnsi" w:hAnsiTheme="minorHAnsi" w:cstheme="minorHAnsi"/>
                <w:bCs/>
                <w:color w:val="000000" w:themeColor="text1"/>
                <w:szCs w:val="22"/>
              </w:rPr>
            </w:pPr>
            <w:r w:rsidRPr="00C91F09">
              <w:rPr>
                <w:rFonts w:asciiTheme="minorHAnsi" w:hAnsiTheme="minorHAnsi" w:cstheme="minorHAnsi"/>
                <w:bCs/>
                <w:color w:val="000000" w:themeColor="text1"/>
                <w:szCs w:val="22"/>
              </w:rPr>
              <w:t>8 weeks</w:t>
            </w:r>
          </w:p>
        </w:tc>
      </w:tr>
      <w:tr w:rsidR="00B478A2" w:rsidRPr="00C91F09" w14:paraId="71440C90" w14:textId="77777777" w:rsidTr="00B54421">
        <w:tc>
          <w:tcPr>
            <w:tcW w:w="3281" w:type="pct"/>
            <w:gridSpan w:val="4"/>
            <w:shd w:val="clear" w:color="auto" w:fill="D9E2F3" w:themeFill="accent1" w:themeFillTint="33"/>
            <w:vAlign w:val="center"/>
          </w:tcPr>
          <w:p w14:paraId="5557D8F8" w14:textId="77777777" w:rsidR="00B478A2" w:rsidRPr="00C91F09" w:rsidRDefault="00B478A2" w:rsidP="00B54421">
            <w:pPr>
              <w:rPr>
                <w:rFonts w:asciiTheme="minorHAnsi" w:hAnsiTheme="minorHAnsi" w:cstheme="minorHAnsi"/>
                <w:b/>
                <w:szCs w:val="22"/>
              </w:rPr>
            </w:pPr>
            <w:r w:rsidRPr="00C91F09">
              <w:rPr>
                <w:rFonts w:asciiTheme="minorHAnsi" w:hAnsiTheme="minorHAnsi" w:cstheme="minorHAnsi"/>
                <w:b/>
                <w:szCs w:val="22"/>
              </w:rPr>
              <w:t xml:space="preserve">Parent programme(s). </w:t>
            </w:r>
            <w:r w:rsidRPr="00C91F09">
              <w:rPr>
                <w:rFonts w:asciiTheme="minorHAnsi" w:hAnsiTheme="minorHAnsi" w:cstheme="minorHAnsi"/>
                <w:bCs/>
                <w:szCs w:val="22"/>
              </w:rPr>
              <w:t>Principal programme title, and embedded(s) if relevant</w:t>
            </w:r>
          </w:p>
        </w:tc>
        <w:tc>
          <w:tcPr>
            <w:tcW w:w="860" w:type="pct"/>
            <w:gridSpan w:val="2"/>
            <w:shd w:val="clear" w:color="auto" w:fill="D9E2F3" w:themeFill="accent1" w:themeFillTint="33"/>
            <w:vAlign w:val="center"/>
          </w:tcPr>
          <w:p w14:paraId="262B7887" w14:textId="77777777" w:rsidR="00B478A2" w:rsidRPr="00C91F09" w:rsidRDefault="00B478A2" w:rsidP="00B54421">
            <w:pPr>
              <w:rPr>
                <w:rFonts w:asciiTheme="minorHAnsi" w:hAnsiTheme="minorHAnsi" w:cstheme="minorHAnsi"/>
                <w:b/>
                <w:szCs w:val="22"/>
              </w:rPr>
            </w:pPr>
            <w:r w:rsidRPr="00C91F09">
              <w:rPr>
                <w:rFonts w:asciiTheme="minorHAnsi" w:hAnsiTheme="minorHAnsi" w:cstheme="minorHAnsi"/>
                <w:b/>
                <w:szCs w:val="22"/>
              </w:rPr>
              <w:t>Stage of parent programme</w:t>
            </w:r>
          </w:p>
        </w:tc>
        <w:tc>
          <w:tcPr>
            <w:tcW w:w="859" w:type="pct"/>
            <w:shd w:val="clear" w:color="auto" w:fill="D9E2F3" w:themeFill="accent1" w:themeFillTint="33"/>
            <w:vAlign w:val="center"/>
          </w:tcPr>
          <w:p w14:paraId="6CBB8757" w14:textId="77777777" w:rsidR="00B478A2" w:rsidRPr="00C91F09" w:rsidRDefault="00B478A2" w:rsidP="00B54421">
            <w:pPr>
              <w:rPr>
                <w:rFonts w:asciiTheme="minorHAnsi" w:hAnsiTheme="minorHAnsi" w:cstheme="minorHAnsi"/>
                <w:b/>
                <w:szCs w:val="22"/>
              </w:rPr>
            </w:pPr>
            <w:r w:rsidRPr="00C91F09">
              <w:rPr>
                <w:rFonts w:asciiTheme="minorHAnsi" w:hAnsiTheme="minorHAnsi" w:cstheme="minorHAnsi"/>
                <w:b/>
                <w:szCs w:val="22"/>
              </w:rPr>
              <w:t>Semester No.</w:t>
            </w:r>
          </w:p>
        </w:tc>
      </w:tr>
      <w:tr w:rsidR="00B478A2" w:rsidRPr="00C91F09" w14:paraId="7F1EC432" w14:textId="77777777" w:rsidTr="00B54421">
        <w:tc>
          <w:tcPr>
            <w:tcW w:w="3281" w:type="pct"/>
            <w:gridSpan w:val="4"/>
            <w:shd w:val="clear" w:color="auto" w:fill="auto"/>
            <w:vAlign w:val="center"/>
          </w:tcPr>
          <w:p w14:paraId="5AA2E92C" w14:textId="77777777" w:rsidR="00B478A2" w:rsidRPr="00C91F09" w:rsidRDefault="00B478A2" w:rsidP="00B54421">
            <w:pPr>
              <w:rPr>
                <w:rFonts w:asciiTheme="minorHAnsi" w:hAnsiTheme="minorHAnsi" w:cstheme="minorHAnsi"/>
                <w:szCs w:val="22"/>
              </w:rPr>
            </w:pPr>
            <w:r w:rsidRPr="00C91F09">
              <w:rPr>
                <w:rFonts w:asciiTheme="minorHAnsi" w:hAnsiTheme="minorHAnsi" w:cstheme="minorHAnsi"/>
                <w:szCs w:val="22"/>
              </w:rPr>
              <w:t>Diploma in L</w:t>
            </w:r>
            <w:r>
              <w:rPr>
                <w:rFonts w:asciiTheme="minorHAnsi" w:hAnsiTheme="minorHAnsi" w:cstheme="minorHAnsi"/>
                <w:szCs w:val="22"/>
              </w:rPr>
              <w:t>egal Studies and Practice</w:t>
            </w:r>
          </w:p>
        </w:tc>
        <w:tc>
          <w:tcPr>
            <w:tcW w:w="860" w:type="pct"/>
            <w:gridSpan w:val="2"/>
            <w:shd w:val="clear" w:color="auto" w:fill="auto"/>
            <w:vAlign w:val="center"/>
          </w:tcPr>
          <w:p w14:paraId="36D81660" w14:textId="77777777" w:rsidR="00B478A2" w:rsidRPr="00C91F09" w:rsidRDefault="00B478A2" w:rsidP="00B54421">
            <w:pPr>
              <w:jc w:val="center"/>
              <w:rPr>
                <w:rFonts w:asciiTheme="minorHAnsi" w:hAnsiTheme="minorHAnsi" w:cstheme="minorHAnsi"/>
                <w:szCs w:val="22"/>
              </w:rPr>
            </w:pPr>
            <w:r>
              <w:rPr>
                <w:rFonts w:asciiTheme="minorHAnsi" w:hAnsiTheme="minorHAnsi" w:cstheme="minorHAnsi"/>
                <w:szCs w:val="22"/>
              </w:rPr>
              <w:t>Award Stage</w:t>
            </w:r>
          </w:p>
        </w:tc>
        <w:tc>
          <w:tcPr>
            <w:tcW w:w="859" w:type="pct"/>
            <w:shd w:val="clear" w:color="auto" w:fill="auto"/>
            <w:vAlign w:val="center"/>
          </w:tcPr>
          <w:p w14:paraId="1ADF2F1A" w14:textId="77777777" w:rsidR="00B478A2" w:rsidRPr="00C91F09" w:rsidRDefault="00B478A2" w:rsidP="00B54421">
            <w:pPr>
              <w:jc w:val="center"/>
              <w:rPr>
                <w:rFonts w:asciiTheme="minorHAnsi" w:hAnsiTheme="minorHAnsi" w:cstheme="minorHAnsi"/>
                <w:szCs w:val="22"/>
              </w:rPr>
            </w:pPr>
            <w:r w:rsidRPr="00C91F09">
              <w:rPr>
                <w:rFonts w:asciiTheme="minorHAnsi" w:hAnsiTheme="minorHAnsi" w:cstheme="minorHAnsi"/>
                <w:szCs w:val="22"/>
              </w:rPr>
              <w:t>Block 1</w:t>
            </w:r>
          </w:p>
        </w:tc>
      </w:tr>
      <w:tr w:rsidR="00B478A2" w:rsidRPr="00C91F09" w14:paraId="132805B5" w14:textId="77777777" w:rsidTr="00B54421">
        <w:tc>
          <w:tcPr>
            <w:tcW w:w="3281" w:type="pct"/>
            <w:gridSpan w:val="4"/>
            <w:shd w:val="clear" w:color="auto" w:fill="auto"/>
            <w:vAlign w:val="center"/>
          </w:tcPr>
          <w:p w14:paraId="5A59A481" w14:textId="77777777" w:rsidR="00B478A2" w:rsidRPr="00C91F09" w:rsidRDefault="00B478A2" w:rsidP="00B54421">
            <w:pPr>
              <w:rPr>
                <w:rFonts w:asciiTheme="minorHAnsi" w:hAnsiTheme="minorHAnsi" w:cstheme="minorHAnsi"/>
                <w:szCs w:val="22"/>
              </w:rPr>
            </w:pPr>
            <w:r>
              <w:rPr>
                <w:rFonts w:asciiTheme="minorHAnsi" w:hAnsiTheme="minorHAnsi" w:cstheme="minorHAnsi"/>
                <w:szCs w:val="22"/>
              </w:rPr>
              <w:t>Certificate in Legal Studies</w:t>
            </w:r>
          </w:p>
        </w:tc>
        <w:tc>
          <w:tcPr>
            <w:tcW w:w="860" w:type="pct"/>
            <w:gridSpan w:val="2"/>
            <w:shd w:val="clear" w:color="auto" w:fill="auto"/>
            <w:vAlign w:val="center"/>
          </w:tcPr>
          <w:p w14:paraId="3C08C9E5" w14:textId="77777777" w:rsidR="00B478A2" w:rsidRDefault="00B478A2" w:rsidP="00B54421">
            <w:pPr>
              <w:jc w:val="center"/>
              <w:rPr>
                <w:rFonts w:asciiTheme="minorHAnsi" w:hAnsiTheme="minorHAnsi" w:cstheme="minorHAnsi"/>
                <w:szCs w:val="22"/>
              </w:rPr>
            </w:pPr>
            <w:r>
              <w:rPr>
                <w:rFonts w:asciiTheme="minorHAnsi" w:hAnsiTheme="minorHAnsi" w:cstheme="minorHAnsi"/>
                <w:szCs w:val="22"/>
              </w:rPr>
              <w:t>Award Stage</w:t>
            </w:r>
          </w:p>
        </w:tc>
        <w:tc>
          <w:tcPr>
            <w:tcW w:w="859" w:type="pct"/>
            <w:shd w:val="clear" w:color="auto" w:fill="auto"/>
            <w:vAlign w:val="center"/>
          </w:tcPr>
          <w:p w14:paraId="383638A6" w14:textId="77777777" w:rsidR="00B478A2" w:rsidRPr="00C91F09" w:rsidRDefault="00B478A2" w:rsidP="00B54421">
            <w:pPr>
              <w:jc w:val="center"/>
              <w:rPr>
                <w:rFonts w:asciiTheme="minorHAnsi" w:hAnsiTheme="minorHAnsi" w:cstheme="minorHAnsi"/>
                <w:szCs w:val="22"/>
              </w:rPr>
            </w:pPr>
            <w:r>
              <w:rPr>
                <w:rFonts w:asciiTheme="minorHAnsi" w:hAnsiTheme="minorHAnsi" w:cstheme="minorHAnsi"/>
                <w:szCs w:val="22"/>
              </w:rPr>
              <w:t>Block 1</w:t>
            </w:r>
          </w:p>
        </w:tc>
      </w:tr>
      <w:tr w:rsidR="00B478A2" w:rsidRPr="00C91F09" w14:paraId="11257CAB" w14:textId="77777777" w:rsidTr="00B54421">
        <w:tc>
          <w:tcPr>
            <w:tcW w:w="1657" w:type="pct"/>
            <w:gridSpan w:val="2"/>
            <w:shd w:val="clear" w:color="auto" w:fill="D9E2F3" w:themeFill="accent1" w:themeFillTint="33"/>
            <w:vAlign w:val="center"/>
          </w:tcPr>
          <w:p w14:paraId="016FBC96" w14:textId="77777777" w:rsidR="00B478A2" w:rsidRPr="00C91F09" w:rsidRDefault="00B478A2" w:rsidP="00B54421">
            <w:pPr>
              <w:rPr>
                <w:rFonts w:asciiTheme="minorHAnsi" w:hAnsiTheme="minorHAnsi" w:cstheme="minorHAnsi"/>
                <w:b/>
                <w:szCs w:val="22"/>
              </w:rPr>
            </w:pPr>
            <w:r w:rsidRPr="00C91F09">
              <w:rPr>
                <w:rFonts w:asciiTheme="minorHAnsi" w:hAnsiTheme="minorHAnsi" w:cstheme="minorHAnsi"/>
                <w:b/>
                <w:color w:val="000000"/>
                <w:szCs w:val="22"/>
                <w:lang w:eastAsia="en-US"/>
              </w:rPr>
              <w:t>Teaching and Learning modes</w:t>
            </w:r>
          </w:p>
        </w:tc>
        <w:tc>
          <w:tcPr>
            <w:tcW w:w="3343" w:type="pct"/>
            <w:gridSpan w:val="5"/>
            <w:shd w:val="clear" w:color="auto" w:fill="D9E2F3" w:themeFill="accent1" w:themeFillTint="33"/>
            <w:vAlign w:val="center"/>
          </w:tcPr>
          <w:p w14:paraId="36A27313" w14:textId="77777777" w:rsidR="00B478A2" w:rsidRPr="00C91F09" w:rsidRDefault="00B478A2" w:rsidP="00B54421">
            <w:pPr>
              <w:rPr>
                <w:rFonts w:asciiTheme="minorHAnsi" w:hAnsiTheme="minorHAnsi" w:cstheme="minorHAnsi"/>
                <w:b/>
                <w:szCs w:val="22"/>
              </w:rPr>
            </w:pPr>
            <w:r w:rsidRPr="00C91F09">
              <w:rPr>
                <w:rFonts w:asciiTheme="minorHAnsi" w:hAnsiTheme="minorHAnsi" w:cstheme="minorHAnsi"/>
                <w:b/>
                <w:color w:val="000000"/>
                <w:szCs w:val="22"/>
                <w:lang w:eastAsia="en-US"/>
              </w:rPr>
              <w:t xml:space="preserve">Proportion </w:t>
            </w:r>
            <w:r w:rsidRPr="00C91F09">
              <w:rPr>
                <w:rFonts w:asciiTheme="minorHAnsi" w:hAnsiTheme="minorHAnsi" w:cstheme="minorHAnsi"/>
                <w:color w:val="000000"/>
                <w:szCs w:val="22"/>
                <w:lang w:eastAsia="en-US"/>
              </w:rPr>
              <w:t>(% of Total Directed Learning)</w:t>
            </w:r>
          </w:p>
        </w:tc>
      </w:tr>
      <w:tr w:rsidR="00B478A2" w:rsidRPr="00C91F09" w14:paraId="1B548D7E" w14:textId="77777777" w:rsidTr="00B54421">
        <w:trPr>
          <w:trHeight w:val="283"/>
        </w:trPr>
        <w:tc>
          <w:tcPr>
            <w:tcW w:w="1657" w:type="pct"/>
            <w:gridSpan w:val="2"/>
            <w:shd w:val="clear" w:color="auto" w:fill="auto"/>
            <w:vAlign w:val="center"/>
          </w:tcPr>
          <w:p w14:paraId="662C661D" w14:textId="77777777" w:rsidR="00B478A2" w:rsidRPr="00C91F09" w:rsidRDefault="00B478A2" w:rsidP="00B54421">
            <w:pPr>
              <w:rPr>
                <w:rFonts w:asciiTheme="minorHAnsi" w:hAnsiTheme="minorHAnsi" w:cstheme="minorHAnsi"/>
                <w:b/>
                <w:szCs w:val="22"/>
              </w:rPr>
            </w:pPr>
            <w:r w:rsidRPr="00C91F09">
              <w:rPr>
                <w:rFonts w:asciiTheme="minorHAnsi" w:hAnsiTheme="minorHAnsi" w:cstheme="minorHAnsi"/>
                <w:color w:val="000000"/>
                <w:szCs w:val="22"/>
                <w:lang w:eastAsia="en-US"/>
              </w:rPr>
              <w:t>Classroom / Face to Face</w:t>
            </w:r>
          </w:p>
        </w:tc>
        <w:tc>
          <w:tcPr>
            <w:tcW w:w="3343" w:type="pct"/>
            <w:gridSpan w:val="5"/>
            <w:shd w:val="clear" w:color="auto" w:fill="auto"/>
            <w:vAlign w:val="center"/>
          </w:tcPr>
          <w:p w14:paraId="50565700" w14:textId="77777777" w:rsidR="00B478A2" w:rsidRPr="00C91F09" w:rsidRDefault="00B478A2" w:rsidP="00B54421">
            <w:pPr>
              <w:rPr>
                <w:rFonts w:asciiTheme="minorHAnsi" w:hAnsiTheme="minorHAnsi" w:cstheme="minorHAnsi"/>
                <w:bCs/>
                <w:szCs w:val="22"/>
              </w:rPr>
            </w:pPr>
            <w:r w:rsidRPr="00C91F09">
              <w:rPr>
                <w:rFonts w:asciiTheme="minorHAnsi" w:hAnsiTheme="minorHAnsi" w:cstheme="minorHAnsi"/>
                <w:bCs/>
                <w:szCs w:val="22"/>
              </w:rPr>
              <w:t>20%</w:t>
            </w:r>
          </w:p>
        </w:tc>
      </w:tr>
      <w:tr w:rsidR="00B478A2" w:rsidRPr="00C91F09" w14:paraId="78638E82" w14:textId="77777777" w:rsidTr="00B54421">
        <w:trPr>
          <w:trHeight w:val="283"/>
        </w:trPr>
        <w:tc>
          <w:tcPr>
            <w:tcW w:w="1657" w:type="pct"/>
            <w:gridSpan w:val="2"/>
            <w:shd w:val="clear" w:color="auto" w:fill="auto"/>
            <w:vAlign w:val="center"/>
          </w:tcPr>
          <w:p w14:paraId="15C4E33B" w14:textId="77777777" w:rsidR="00B478A2" w:rsidRPr="00C91F09" w:rsidRDefault="00B478A2" w:rsidP="00B54421">
            <w:pPr>
              <w:rPr>
                <w:rFonts w:asciiTheme="minorHAnsi" w:hAnsiTheme="minorHAnsi" w:cstheme="minorHAnsi"/>
                <w:b/>
                <w:szCs w:val="22"/>
              </w:rPr>
            </w:pPr>
            <w:r w:rsidRPr="00C91F09">
              <w:rPr>
                <w:rFonts w:asciiTheme="minorHAnsi" w:hAnsiTheme="minorHAnsi" w:cstheme="minorHAnsi"/>
                <w:color w:val="000000"/>
                <w:szCs w:val="22"/>
                <w:lang w:eastAsia="en-US"/>
              </w:rPr>
              <w:t>Workplace</w:t>
            </w:r>
          </w:p>
        </w:tc>
        <w:tc>
          <w:tcPr>
            <w:tcW w:w="3343" w:type="pct"/>
            <w:gridSpan w:val="5"/>
            <w:shd w:val="clear" w:color="auto" w:fill="auto"/>
            <w:vAlign w:val="center"/>
          </w:tcPr>
          <w:p w14:paraId="3D4E1AB6" w14:textId="77777777" w:rsidR="00B478A2" w:rsidRPr="00C91F09" w:rsidRDefault="00B478A2" w:rsidP="00B54421">
            <w:pPr>
              <w:rPr>
                <w:rFonts w:asciiTheme="minorHAnsi" w:hAnsiTheme="minorHAnsi" w:cstheme="minorHAnsi"/>
                <w:bCs/>
                <w:szCs w:val="22"/>
              </w:rPr>
            </w:pPr>
            <w:r>
              <w:rPr>
                <w:rFonts w:asciiTheme="minorHAnsi" w:hAnsiTheme="minorHAnsi" w:cstheme="minorHAnsi"/>
                <w:bCs/>
                <w:szCs w:val="22"/>
              </w:rPr>
              <w:t>-</w:t>
            </w:r>
          </w:p>
        </w:tc>
      </w:tr>
      <w:tr w:rsidR="00B478A2" w:rsidRPr="00C91F09" w14:paraId="2B5F140F" w14:textId="77777777" w:rsidTr="00B54421">
        <w:trPr>
          <w:trHeight w:val="283"/>
        </w:trPr>
        <w:tc>
          <w:tcPr>
            <w:tcW w:w="1657" w:type="pct"/>
            <w:gridSpan w:val="2"/>
            <w:shd w:val="clear" w:color="auto" w:fill="auto"/>
            <w:vAlign w:val="center"/>
          </w:tcPr>
          <w:p w14:paraId="1E5EFBA1" w14:textId="77777777" w:rsidR="00B478A2" w:rsidRPr="00C91F09" w:rsidRDefault="00B478A2" w:rsidP="00B54421">
            <w:pPr>
              <w:rPr>
                <w:rFonts w:asciiTheme="minorHAnsi" w:hAnsiTheme="minorHAnsi" w:cstheme="minorHAnsi"/>
                <w:b/>
                <w:szCs w:val="22"/>
              </w:rPr>
            </w:pPr>
            <w:r w:rsidRPr="00C91F09">
              <w:rPr>
                <w:rFonts w:asciiTheme="minorHAnsi" w:hAnsiTheme="minorHAnsi" w:cstheme="minorHAnsi"/>
                <w:color w:val="000000"/>
                <w:szCs w:val="22"/>
                <w:lang w:eastAsia="en-US"/>
              </w:rPr>
              <w:t>Online</w:t>
            </w:r>
          </w:p>
        </w:tc>
        <w:tc>
          <w:tcPr>
            <w:tcW w:w="3343" w:type="pct"/>
            <w:gridSpan w:val="5"/>
            <w:shd w:val="clear" w:color="auto" w:fill="auto"/>
            <w:vAlign w:val="center"/>
          </w:tcPr>
          <w:p w14:paraId="3CE80044" w14:textId="77777777" w:rsidR="00B478A2" w:rsidRPr="00C91F09" w:rsidRDefault="00B478A2" w:rsidP="00B54421">
            <w:pPr>
              <w:rPr>
                <w:rFonts w:asciiTheme="minorHAnsi" w:hAnsiTheme="minorHAnsi" w:cstheme="minorHAnsi"/>
                <w:bCs/>
                <w:szCs w:val="22"/>
              </w:rPr>
            </w:pPr>
            <w:r>
              <w:rPr>
                <w:rFonts w:asciiTheme="minorHAnsi" w:hAnsiTheme="minorHAnsi" w:cstheme="minorHAnsi"/>
                <w:bCs/>
                <w:szCs w:val="22"/>
              </w:rPr>
              <w:t>-</w:t>
            </w:r>
          </w:p>
        </w:tc>
      </w:tr>
      <w:tr w:rsidR="00B478A2" w:rsidRPr="00C91F09" w14:paraId="46B1D211" w14:textId="77777777" w:rsidTr="00B54421">
        <w:trPr>
          <w:trHeight w:val="283"/>
        </w:trPr>
        <w:tc>
          <w:tcPr>
            <w:tcW w:w="1657" w:type="pct"/>
            <w:gridSpan w:val="2"/>
            <w:shd w:val="clear" w:color="auto" w:fill="auto"/>
            <w:vAlign w:val="center"/>
          </w:tcPr>
          <w:p w14:paraId="799157BE" w14:textId="77777777" w:rsidR="00B478A2" w:rsidRPr="00C91F09" w:rsidRDefault="00B478A2" w:rsidP="00B54421">
            <w:pPr>
              <w:rPr>
                <w:rFonts w:asciiTheme="minorHAnsi" w:hAnsiTheme="minorHAnsi" w:cstheme="minorHAnsi"/>
                <w:color w:val="000000"/>
                <w:szCs w:val="22"/>
                <w:lang w:eastAsia="en-US"/>
              </w:rPr>
            </w:pPr>
            <w:r w:rsidRPr="00C91F09">
              <w:rPr>
                <w:rFonts w:asciiTheme="minorHAnsi" w:hAnsiTheme="minorHAnsi" w:cstheme="minorHAnsi"/>
                <w:color w:val="000000"/>
                <w:szCs w:val="22"/>
                <w:lang w:eastAsia="en-US"/>
              </w:rPr>
              <w:t>Other (Identify)</w:t>
            </w:r>
          </w:p>
        </w:tc>
        <w:tc>
          <w:tcPr>
            <w:tcW w:w="3343" w:type="pct"/>
            <w:gridSpan w:val="5"/>
            <w:shd w:val="clear" w:color="auto" w:fill="auto"/>
            <w:vAlign w:val="center"/>
          </w:tcPr>
          <w:p w14:paraId="57DFFB20" w14:textId="77777777" w:rsidR="00B478A2" w:rsidRPr="00C91F09" w:rsidRDefault="00B478A2" w:rsidP="00B54421">
            <w:pPr>
              <w:rPr>
                <w:rFonts w:asciiTheme="minorHAnsi" w:hAnsiTheme="minorHAnsi" w:cstheme="minorHAnsi"/>
                <w:bCs/>
                <w:szCs w:val="22"/>
              </w:rPr>
            </w:pPr>
            <w:r w:rsidRPr="00C91F09">
              <w:rPr>
                <w:rFonts w:asciiTheme="minorHAnsi" w:hAnsiTheme="minorHAnsi" w:cstheme="minorHAnsi"/>
                <w:bCs/>
                <w:szCs w:val="22"/>
              </w:rPr>
              <w:t>80%</w:t>
            </w:r>
          </w:p>
        </w:tc>
      </w:tr>
      <w:tr w:rsidR="00B478A2" w:rsidRPr="00C91F09" w14:paraId="304BFCCF" w14:textId="77777777" w:rsidTr="00B54421">
        <w:tc>
          <w:tcPr>
            <w:tcW w:w="5000" w:type="pct"/>
            <w:gridSpan w:val="7"/>
            <w:shd w:val="clear" w:color="auto" w:fill="D9E2F3" w:themeFill="accent1" w:themeFillTint="33"/>
            <w:vAlign w:val="center"/>
          </w:tcPr>
          <w:p w14:paraId="2ED4AF0B" w14:textId="77777777" w:rsidR="00B478A2" w:rsidRPr="00C91F09" w:rsidRDefault="00B478A2" w:rsidP="00B54421">
            <w:pPr>
              <w:rPr>
                <w:rFonts w:asciiTheme="minorHAnsi" w:hAnsiTheme="minorHAnsi" w:cstheme="minorHAnsi"/>
                <w:b/>
                <w:szCs w:val="22"/>
              </w:rPr>
            </w:pPr>
            <w:r w:rsidRPr="00C91F09">
              <w:rPr>
                <w:rFonts w:asciiTheme="minorHAnsi" w:hAnsiTheme="minorHAnsi" w:cstheme="minorHAnsi"/>
                <w:b/>
                <w:szCs w:val="22"/>
              </w:rPr>
              <w:t>Entry requirements (statement of knowledge, skill and competence)</w:t>
            </w:r>
          </w:p>
        </w:tc>
      </w:tr>
      <w:tr w:rsidR="00B478A2" w:rsidRPr="00C91F09" w14:paraId="0243B90C" w14:textId="77777777" w:rsidTr="00B54421">
        <w:tc>
          <w:tcPr>
            <w:tcW w:w="5000" w:type="pct"/>
            <w:gridSpan w:val="7"/>
            <w:shd w:val="clear" w:color="auto" w:fill="auto"/>
            <w:vAlign w:val="center"/>
          </w:tcPr>
          <w:p w14:paraId="6E2E536F" w14:textId="77777777" w:rsidR="00B478A2" w:rsidRPr="00C91F09" w:rsidRDefault="00B478A2" w:rsidP="00B54421">
            <w:pPr>
              <w:rPr>
                <w:rFonts w:asciiTheme="minorHAnsi" w:hAnsiTheme="minorHAnsi" w:cstheme="minorHAnsi"/>
                <w:szCs w:val="22"/>
              </w:rPr>
            </w:pPr>
            <w:r w:rsidRPr="00C91F09">
              <w:rPr>
                <w:rFonts w:asciiTheme="minorHAnsi" w:hAnsiTheme="minorHAnsi" w:cstheme="minorHAnsi"/>
                <w:szCs w:val="22"/>
              </w:rPr>
              <w:t>Learners must comply with and mee</w:t>
            </w:r>
            <w:r>
              <w:rPr>
                <w:rFonts w:asciiTheme="minorHAnsi" w:hAnsiTheme="minorHAnsi" w:cstheme="minorHAnsi"/>
                <w:szCs w:val="22"/>
              </w:rPr>
              <w:t>t programme entry requirements.</w:t>
            </w:r>
          </w:p>
        </w:tc>
      </w:tr>
      <w:tr w:rsidR="00B478A2" w:rsidRPr="00C91F09" w14:paraId="5DE83798" w14:textId="77777777" w:rsidTr="00B54421">
        <w:tc>
          <w:tcPr>
            <w:tcW w:w="2186" w:type="pct"/>
            <w:gridSpan w:val="3"/>
            <w:shd w:val="clear" w:color="auto" w:fill="D9E2F3" w:themeFill="accent1" w:themeFillTint="33"/>
            <w:vAlign w:val="center"/>
          </w:tcPr>
          <w:p w14:paraId="7B1EAE3D" w14:textId="77777777" w:rsidR="00B478A2" w:rsidRPr="00C91F09" w:rsidRDefault="00B478A2" w:rsidP="00B54421">
            <w:pPr>
              <w:rPr>
                <w:rFonts w:asciiTheme="minorHAnsi" w:hAnsiTheme="minorHAnsi" w:cstheme="minorHAnsi"/>
                <w:b/>
                <w:szCs w:val="22"/>
              </w:rPr>
            </w:pPr>
            <w:r w:rsidRPr="00C91F09">
              <w:rPr>
                <w:rFonts w:asciiTheme="minorHAnsi" w:hAnsiTheme="minorHAnsi" w:cstheme="minorHAnsi"/>
                <w:b/>
                <w:szCs w:val="22"/>
              </w:rPr>
              <w:t>Maximum number of learners per instance of the module</w:t>
            </w:r>
          </w:p>
        </w:tc>
        <w:tc>
          <w:tcPr>
            <w:tcW w:w="2814" w:type="pct"/>
            <w:gridSpan w:val="4"/>
            <w:shd w:val="clear" w:color="auto" w:fill="FFFFFF" w:themeFill="background1"/>
            <w:vAlign w:val="center"/>
          </w:tcPr>
          <w:p w14:paraId="630F52CC" w14:textId="77777777" w:rsidR="00B478A2" w:rsidRPr="00C91F09" w:rsidRDefault="00B478A2" w:rsidP="00B54421">
            <w:pPr>
              <w:rPr>
                <w:rFonts w:asciiTheme="minorHAnsi" w:hAnsiTheme="minorHAnsi" w:cstheme="minorHAnsi"/>
                <w:bCs/>
                <w:szCs w:val="22"/>
              </w:rPr>
            </w:pPr>
            <w:r w:rsidRPr="00C91F09">
              <w:rPr>
                <w:rFonts w:asciiTheme="minorHAnsi" w:hAnsiTheme="minorHAnsi" w:cstheme="minorHAnsi"/>
                <w:bCs/>
                <w:szCs w:val="22"/>
              </w:rPr>
              <w:t>80</w:t>
            </w:r>
            <w:r>
              <w:rPr>
                <w:rFonts w:asciiTheme="minorHAnsi" w:hAnsiTheme="minorHAnsi" w:cstheme="minorHAnsi"/>
                <w:bCs/>
                <w:szCs w:val="22"/>
              </w:rPr>
              <w:t xml:space="preserve"> learners</w:t>
            </w:r>
          </w:p>
        </w:tc>
      </w:tr>
      <w:tr w:rsidR="00B478A2" w:rsidRPr="00C91F09" w14:paraId="39B405CF" w14:textId="77777777" w:rsidTr="00B54421">
        <w:tc>
          <w:tcPr>
            <w:tcW w:w="2186" w:type="pct"/>
            <w:gridSpan w:val="3"/>
            <w:shd w:val="clear" w:color="auto" w:fill="D9E2F3" w:themeFill="accent1" w:themeFillTint="33"/>
            <w:vAlign w:val="center"/>
          </w:tcPr>
          <w:p w14:paraId="30A9BA1B" w14:textId="77777777" w:rsidR="00B478A2" w:rsidRPr="00C91F09" w:rsidRDefault="00B478A2" w:rsidP="00B54421">
            <w:pPr>
              <w:rPr>
                <w:rFonts w:asciiTheme="minorHAnsi" w:hAnsiTheme="minorHAnsi" w:cstheme="minorHAnsi"/>
                <w:b/>
                <w:szCs w:val="22"/>
              </w:rPr>
            </w:pPr>
            <w:r w:rsidRPr="00C91F09">
              <w:rPr>
                <w:rFonts w:asciiTheme="minorHAnsi" w:hAnsiTheme="minorHAnsi" w:cstheme="minorHAnsi"/>
                <w:b/>
                <w:szCs w:val="22"/>
              </w:rPr>
              <w:t>Average (over the duration of the module) of the contact hours</w:t>
            </w:r>
            <w:r w:rsidRPr="00C91F09">
              <w:rPr>
                <w:rStyle w:val="FootnoteReference"/>
                <w:rFonts w:asciiTheme="minorHAnsi" w:eastAsiaTheme="majorEastAsia" w:hAnsiTheme="minorHAnsi" w:cstheme="minorHAnsi"/>
                <w:b/>
                <w:szCs w:val="22"/>
              </w:rPr>
              <w:footnoteReference w:id="1"/>
            </w:r>
            <w:r w:rsidRPr="00C91F09">
              <w:rPr>
                <w:rFonts w:asciiTheme="minorHAnsi" w:hAnsiTheme="minorHAnsi" w:cstheme="minorHAnsi"/>
                <w:b/>
                <w:szCs w:val="22"/>
              </w:rPr>
              <w:t xml:space="preserve"> per week </w:t>
            </w:r>
          </w:p>
        </w:tc>
        <w:tc>
          <w:tcPr>
            <w:tcW w:w="2814" w:type="pct"/>
            <w:gridSpan w:val="4"/>
            <w:shd w:val="clear" w:color="auto" w:fill="FFFFFF" w:themeFill="background1"/>
            <w:vAlign w:val="center"/>
          </w:tcPr>
          <w:p w14:paraId="7A556942" w14:textId="77777777" w:rsidR="00B478A2" w:rsidRPr="00C91F09" w:rsidRDefault="00B478A2" w:rsidP="00B54421">
            <w:pPr>
              <w:rPr>
                <w:rFonts w:asciiTheme="minorHAnsi" w:hAnsiTheme="minorHAnsi" w:cstheme="minorHAnsi"/>
                <w:bCs/>
                <w:szCs w:val="22"/>
              </w:rPr>
            </w:pPr>
            <w:r w:rsidRPr="00C91F09">
              <w:rPr>
                <w:rFonts w:asciiTheme="minorHAnsi" w:hAnsiTheme="minorHAnsi" w:cstheme="minorHAnsi"/>
                <w:bCs/>
                <w:szCs w:val="22"/>
              </w:rPr>
              <w:t>4</w:t>
            </w:r>
            <w:r>
              <w:rPr>
                <w:rFonts w:asciiTheme="minorHAnsi" w:hAnsiTheme="minorHAnsi" w:cstheme="minorHAnsi"/>
                <w:bCs/>
                <w:szCs w:val="22"/>
              </w:rPr>
              <w:t xml:space="preserve"> hours</w:t>
            </w:r>
          </w:p>
        </w:tc>
      </w:tr>
      <w:tr w:rsidR="00B478A2" w:rsidRPr="00C91F09" w14:paraId="1EEA1428" w14:textId="77777777" w:rsidTr="00B54421">
        <w:tc>
          <w:tcPr>
            <w:tcW w:w="2186" w:type="pct"/>
            <w:gridSpan w:val="3"/>
            <w:shd w:val="clear" w:color="auto" w:fill="D9E2F3" w:themeFill="accent1" w:themeFillTint="33"/>
            <w:vAlign w:val="center"/>
          </w:tcPr>
          <w:p w14:paraId="4A4FA15A" w14:textId="77777777" w:rsidR="00B478A2" w:rsidRPr="00C91F09" w:rsidRDefault="00B478A2" w:rsidP="00B54421">
            <w:pPr>
              <w:rPr>
                <w:rFonts w:asciiTheme="minorHAnsi" w:hAnsiTheme="minorHAnsi" w:cstheme="minorHAnsi"/>
                <w:b/>
                <w:szCs w:val="22"/>
              </w:rPr>
            </w:pPr>
            <w:r w:rsidRPr="00C91F09">
              <w:rPr>
                <w:rFonts w:asciiTheme="minorHAnsi" w:hAnsiTheme="minorHAnsi" w:cstheme="minorHAnsi"/>
                <w:b/>
                <w:szCs w:val="22"/>
              </w:rPr>
              <w:t>Pre-requisite module title(s) (if any)</w:t>
            </w:r>
          </w:p>
        </w:tc>
        <w:tc>
          <w:tcPr>
            <w:tcW w:w="2814" w:type="pct"/>
            <w:gridSpan w:val="4"/>
            <w:shd w:val="clear" w:color="auto" w:fill="FFFFFF" w:themeFill="background1"/>
            <w:vAlign w:val="center"/>
          </w:tcPr>
          <w:p w14:paraId="6BEDDAA6" w14:textId="77777777" w:rsidR="00B478A2" w:rsidRPr="00C91F09" w:rsidRDefault="00B478A2" w:rsidP="00B54421">
            <w:pPr>
              <w:rPr>
                <w:rFonts w:asciiTheme="minorHAnsi" w:hAnsiTheme="minorHAnsi" w:cstheme="minorHAnsi"/>
                <w:bCs/>
                <w:szCs w:val="22"/>
              </w:rPr>
            </w:pPr>
            <w:r w:rsidRPr="00C91F09">
              <w:rPr>
                <w:rFonts w:asciiTheme="minorHAnsi" w:hAnsiTheme="minorHAnsi" w:cstheme="minorHAnsi"/>
                <w:bCs/>
                <w:szCs w:val="22"/>
              </w:rPr>
              <w:t>n/a</w:t>
            </w:r>
          </w:p>
        </w:tc>
      </w:tr>
      <w:tr w:rsidR="00B478A2" w:rsidRPr="00C91F09" w14:paraId="5F30767D" w14:textId="77777777" w:rsidTr="00B54421">
        <w:tc>
          <w:tcPr>
            <w:tcW w:w="2186" w:type="pct"/>
            <w:gridSpan w:val="3"/>
            <w:shd w:val="clear" w:color="auto" w:fill="D9E2F3" w:themeFill="accent1" w:themeFillTint="33"/>
            <w:vAlign w:val="center"/>
          </w:tcPr>
          <w:p w14:paraId="15141422" w14:textId="77777777" w:rsidR="00B478A2" w:rsidRPr="00C91F09" w:rsidRDefault="00B478A2" w:rsidP="00B54421">
            <w:pPr>
              <w:rPr>
                <w:rFonts w:asciiTheme="minorHAnsi" w:hAnsiTheme="minorHAnsi" w:cstheme="minorHAnsi"/>
                <w:b/>
                <w:szCs w:val="22"/>
              </w:rPr>
            </w:pPr>
            <w:r w:rsidRPr="00C91F09">
              <w:rPr>
                <w:rFonts w:asciiTheme="minorHAnsi" w:hAnsiTheme="minorHAnsi" w:cstheme="minorHAnsi"/>
                <w:b/>
                <w:szCs w:val="22"/>
              </w:rPr>
              <w:t>Co-requisite module title(s) (if any)</w:t>
            </w:r>
          </w:p>
        </w:tc>
        <w:tc>
          <w:tcPr>
            <w:tcW w:w="2814" w:type="pct"/>
            <w:gridSpan w:val="4"/>
            <w:shd w:val="clear" w:color="auto" w:fill="FFFFFF" w:themeFill="background1"/>
            <w:vAlign w:val="center"/>
          </w:tcPr>
          <w:p w14:paraId="3E550869" w14:textId="77777777" w:rsidR="00B478A2" w:rsidRPr="00C91F09" w:rsidRDefault="00B478A2" w:rsidP="00B54421">
            <w:pPr>
              <w:rPr>
                <w:rFonts w:asciiTheme="minorHAnsi" w:hAnsiTheme="minorHAnsi" w:cstheme="minorHAnsi"/>
                <w:bCs/>
                <w:szCs w:val="22"/>
              </w:rPr>
            </w:pPr>
            <w:r w:rsidRPr="00C91F09">
              <w:rPr>
                <w:rFonts w:asciiTheme="minorHAnsi" w:hAnsiTheme="minorHAnsi" w:cstheme="minorHAnsi"/>
                <w:bCs/>
                <w:szCs w:val="22"/>
              </w:rPr>
              <w:t>n/a</w:t>
            </w:r>
          </w:p>
        </w:tc>
      </w:tr>
      <w:tr w:rsidR="00B478A2" w:rsidRPr="00C91F09" w14:paraId="71713D3E" w14:textId="77777777" w:rsidTr="00B54421">
        <w:tc>
          <w:tcPr>
            <w:tcW w:w="2186" w:type="pct"/>
            <w:gridSpan w:val="3"/>
            <w:shd w:val="clear" w:color="auto" w:fill="D9E2F3" w:themeFill="accent1" w:themeFillTint="33"/>
            <w:vAlign w:val="center"/>
          </w:tcPr>
          <w:p w14:paraId="613E8B26" w14:textId="77777777" w:rsidR="00B478A2" w:rsidRPr="00C91F09" w:rsidRDefault="00B478A2" w:rsidP="00B54421">
            <w:pPr>
              <w:rPr>
                <w:rFonts w:asciiTheme="minorHAnsi" w:hAnsiTheme="minorHAnsi" w:cstheme="minorHAnsi"/>
                <w:b/>
                <w:szCs w:val="22"/>
              </w:rPr>
            </w:pPr>
            <w:r w:rsidRPr="00C91F09">
              <w:rPr>
                <w:rFonts w:asciiTheme="minorHAnsi" w:hAnsiTheme="minorHAnsi" w:cstheme="minorHAnsi"/>
                <w:b/>
                <w:szCs w:val="22"/>
              </w:rPr>
              <w:t>Is this a capstone module? (Yes or No)</w:t>
            </w:r>
          </w:p>
        </w:tc>
        <w:tc>
          <w:tcPr>
            <w:tcW w:w="2814" w:type="pct"/>
            <w:gridSpan w:val="4"/>
            <w:shd w:val="clear" w:color="auto" w:fill="FFFFFF" w:themeFill="background1"/>
            <w:vAlign w:val="center"/>
          </w:tcPr>
          <w:p w14:paraId="376D26AB" w14:textId="77777777" w:rsidR="00B478A2" w:rsidRPr="00C91F09" w:rsidRDefault="00B478A2" w:rsidP="00B54421">
            <w:pPr>
              <w:rPr>
                <w:rFonts w:asciiTheme="minorHAnsi" w:hAnsiTheme="minorHAnsi" w:cstheme="minorHAnsi"/>
                <w:bCs/>
                <w:szCs w:val="22"/>
              </w:rPr>
            </w:pPr>
            <w:r w:rsidRPr="00C91F09">
              <w:rPr>
                <w:rFonts w:asciiTheme="minorHAnsi" w:hAnsiTheme="minorHAnsi" w:cstheme="minorHAnsi"/>
                <w:bCs/>
                <w:szCs w:val="22"/>
              </w:rPr>
              <w:t>No</w:t>
            </w:r>
          </w:p>
        </w:tc>
      </w:tr>
      <w:tr w:rsidR="00B478A2" w:rsidRPr="00C91F09" w14:paraId="6F1B84BB" w14:textId="77777777" w:rsidTr="00B54421">
        <w:tc>
          <w:tcPr>
            <w:tcW w:w="5000" w:type="pct"/>
            <w:gridSpan w:val="7"/>
            <w:shd w:val="clear" w:color="auto" w:fill="D9E2F3" w:themeFill="accent1" w:themeFillTint="33"/>
            <w:vAlign w:val="center"/>
          </w:tcPr>
          <w:p w14:paraId="20476C89" w14:textId="77777777" w:rsidR="00B478A2" w:rsidRPr="00C91F09" w:rsidRDefault="00B478A2" w:rsidP="00B54421">
            <w:pPr>
              <w:rPr>
                <w:rFonts w:asciiTheme="minorHAnsi" w:hAnsiTheme="minorHAnsi" w:cstheme="minorHAnsi"/>
                <w:b/>
                <w:szCs w:val="22"/>
              </w:rPr>
            </w:pPr>
            <w:r w:rsidRPr="00C91F09">
              <w:rPr>
                <w:rFonts w:asciiTheme="minorHAnsi" w:hAnsiTheme="minorHAnsi" w:cstheme="minorHAnsi"/>
                <w:b/>
                <w:szCs w:val="22"/>
              </w:rPr>
              <w:t>Module-specific physical resources and support required</w:t>
            </w:r>
            <w:r w:rsidRPr="00C91F09">
              <w:rPr>
                <w:rFonts w:asciiTheme="minorHAnsi" w:hAnsiTheme="minorHAnsi" w:cstheme="minorHAnsi"/>
                <w:szCs w:val="22"/>
              </w:rPr>
              <w:t xml:space="preserve"> </w:t>
            </w:r>
            <w:r w:rsidRPr="00C91F09">
              <w:rPr>
                <w:rFonts w:asciiTheme="minorHAnsi" w:hAnsiTheme="minorHAnsi" w:cstheme="minorHAnsi"/>
                <w:b/>
                <w:szCs w:val="22"/>
              </w:rPr>
              <w:t>per centre (or instance of the module)</w:t>
            </w:r>
          </w:p>
        </w:tc>
      </w:tr>
      <w:tr w:rsidR="00B478A2" w:rsidRPr="00C91F09" w14:paraId="15F224D0" w14:textId="77777777" w:rsidTr="00B54421">
        <w:tc>
          <w:tcPr>
            <w:tcW w:w="5000" w:type="pct"/>
            <w:gridSpan w:val="7"/>
            <w:shd w:val="clear" w:color="auto" w:fill="FFFFFF" w:themeFill="background1"/>
            <w:vAlign w:val="center"/>
          </w:tcPr>
          <w:p w14:paraId="0DBFE649" w14:textId="77777777" w:rsidR="00B478A2" w:rsidRPr="00C91F09" w:rsidRDefault="00B478A2" w:rsidP="00B54421">
            <w:pPr>
              <w:rPr>
                <w:rFonts w:asciiTheme="minorHAnsi" w:hAnsiTheme="minorHAnsi" w:cstheme="minorHAnsi"/>
                <w:szCs w:val="22"/>
              </w:rPr>
            </w:pPr>
            <w:r>
              <w:rPr>
                <w:rFonts w:asciiTheme="minorHAnsi" w:hAnsiTheme="minorHAnsi" w:cstheme="minorHAnsi"/>
                <w:szCs w:val="22"/>
              </w:rPr>
              <w:t>Lecture room with Wi-</w:t>
            </w:r>
            <w:r w:rsidRPr="00C91F09">
              <w:rPr>
                <w:rFonts w:asciiTheme="minorHAnsi" w:hAnsiTheme="minorHAnsi" w:cstheme="minorHAnsi"/>
                <w:szCs w:val="22"/>
              </w:rPr>
              <w:t>Fi access, digital recording facilities, Zoo</w:t>
            </w:r>
            <w:r>
              <w:rPr>
                <w:rFonts w:asciiTheme="minorHAnsi" w:hAnsiTheme="minorHAnsi" w:cstheme="minorHAnsi"/>
                <w:szCs w:val="22"/>
              </w:rPr>
              <w:t>m access and digital projector.</w:t>
            </w:r>
          </w:p>
        </w:tc>
      </w:tr>
      <w:tr w:rsidR="00B478A2" w:rsidRPr="00C91F09" w14:paraId="57BF4455" w14:textId="77777777" w:rsidTr="00B54421">
        <w:tc>
          <w:tcPr>
            <w:tcW w:w="5000" w:type="pct"/>
            <w:gridSpan w:val="7"/>
            <w:shd w:val="clear" w:color="auto" w:fill="D9E2F3" w:themeFill="accent1" w:themeFillTint="33"/>
            <w:vAlign w:val="center"/>
          </w:tcPr>
          <w:p w14:paraId="057AEC13" w14:textId="77777777" w:rsidR="00B478A2" w:rsidRPr="00C91F09" w:rsidRDefault="00B478A2" w:rsidP="00B54421">
            <w:pPr>
              <w:rPr>
                <w:rFonts w:asciiTheme="minorHAnsi" w:hAnsiTheme="minorHAnsi" w:cstheme="minorHAnsi"/>
                <w:szCs w:val="22"/>
              </w:rPr>
            </w:pPr>
            <w:r w:rsidRPr="00C91F09">
              <w:rPr>
                <w:rFonts w:asciiTheme="minorHAnsi" w:hAnsiTheme="minorHAnsi" w:cstheme="minorHAnsi"/>
                <w:b/>
                <w:szCs w:val="22"/>
              </w:rPr>
              <w:t xml:space="preserve">Specification of the qualifications (academic, pedagogical and professional/occupational) and experience required of staff working in this module. </w:t>
            </w:r>
            <w:r w:rsidRPr="00C91F09">
              <w:rPr>
                <w:rFonts w:asciiTheme="minorHAnsi" w:hAnsiTheme="minorHAnsi" w:cstheme="minorHAnsi"/>
                <w:bCs/>
                <w:szCs w:val="22"/>
              </w:rPr>
              <w:t>(Staff includes workplace personnel who are responsible for learners such as apprentices, trainees and learners in clinical placements)</w:t>
            </w:r>
            <w:r w:rsidRPr="00C91F09">
              <w:rPr>
                <w:rFonts w:asciiTheme="minorHAnsi" w:hAnsiTheme="minorHAnsi" w:cstheme="minorHAnsi"/>
                <w:b/>
                <w:szCs w:val="22"/>
              </w:rPr>
              <w:t xml:space="preserve"> </w:t>
            </w:r>
          </w:p>
        </w:tc>
      </w:tr>
      <w:tr w:rsidR="00B478A2" w:rsidRPr="00C91F09" w14:paraId="284FFEF7" w14:textId="77777777" w:rsidTr="00B54421">
        <w:tc>
          <w:tcPr>
            <w:tcW w:w="1238" w:type="pct"/>
            <w:vAlign w:val="center"/>
          </w:tcPr>
          <w:p w14:paraId="5FAD49E4" w14:textId="77777777" w:rsidR="00B478A2" w:rsidRPr="00C91F09" w:rsidRDefault="00B478A2" w:rsidP="00B54421">
            <w:pPr>
              <w:rPr>
                <w:rFonts w:asciiTheme="minorHAnsi" w:hAnsiTheme="minorHAnsi" w:cstheme="minorHAnsi"/>
                <w:szCs w:val="22"/>
              </w:rPr>
            </w:pPr>
            <w:r w:rsidRPr="00C91F09">
              <w:rPr>
                <w:rFonts w:asciiTheme="minorHAnsi" w:hAnsiTheme="minorHAnsi" w:cstheme="minorHAnsi"/>
                <w:b/>
                <w:szCs w:val="22"/>
                <w:lang w:eastAsia="en-US"/>
              </w:rPr>
              <w:t>Role e.g. Tutor, Mentor etc</w:t>
            </w:r>
          </w:p>
        </w:tc>
        <w:tc>
          <w:tcPr>
            <w:tcW w:w="2707" w:type="pct"/>
            <w:gridSpan w:val="4"/>
            <w:vAlign w:val="center"/>
          </w:tcPr>
          <w:p w14:paraId="15F8A7F1" w14:textId="77777777" w:rsidR="00B478A2" w:rsidRPr="00C91F09" w:rsidRDefault="00B478A2" w:rsidP="00B54421">
            <w:pPr>
              <w:rPr>
                <w:rFonts w:asciiTheme="minorHAnsi" w:hAnsiTheme="minorHAnsi" w:cstheme="minorHAnsi"/>
                <w:szCs w:val="22"/>
              </w:rPr>
            </w:pPr>
            <w:r w:rsidRPr="00C91F09">
              <w:rPr>
                <w:rFonts w:asciiTheme="minorHAnsi" w:hAnsiTheme="minorHAnsi" w:cstheme="minorHAnsi"/>
                <w:b/>
                <w:bCs/>
                <w:szCs w:val="22"/>
              </w:rPr>
              <w:t xml:space="preserve">Qualifications &amp; experience required: </w:t>
            </w:r>
          </w:p>
        </w:tc>
        <w:tc>
          <w:tcPr>
            <w:tcW w:w="1055" w:type="pct"/>
            <w:gridSpan w:val="2"/>
            <w:vAlign w:val="center"/>
          </w:tcPr>
          <w:p w14:paraId="7F4F828B" w14:textId="77777777" w:rsidR="00B478A2" w:rsidRPr="00C91F09" w:rsidRDefault="00B478A2" w:rsidP="00B54421">
            <w:pPr>
              <w:rPr>
                <w:rFonts w:asciiTheme="minorHAnsi" w:hAnsiTheme="minorHAnsi" w:cstheme="minorHAnsi"/>
                <w:szCs w:val="22"/>
              </w:rPr>
            </w:pPr>
            <w:r w:rsidRPr="00C91F09">
              <w:rPr>
                <w:rFonts w:asciiTheme="minorHAnsi" w:hAnsiTheme="minorHAnsi" w:cstheme="minorHAnsi"/>
                <w:b/>
                <w:szCs w:val="22"/>
                <w:lang w:eastAsia="en-US"/>
              </w:rPr>
              <w:t># of Staff with this profile (WTEs</w:t>
            </w:r>
            <w:r w:rsidRPr="00C91F09">
              <w:rPr>
                <w:rStyle w:val="FootnoteReference"/>
                <w:rFonts w:asciiTheme="minorHAnsi" w:eastAsiaTheme="majorEastAsia" w:hAnsiTheme="minorHAnsi" w:cstheme="minorHAnsi"/>
                <w:b/>
                <w:szCs w:val="22"/>
                <w:lang w:eastAsia="en-US"/>
              </w:rPr>
              <w:footnoteReference w:id="2"/>
            </w:r>
            <w:r w:rsidRPr="00C91F09">
              <w:rPr>
                <w:rFonts w:asciiTheme="minorHAnsi" w:hAnsiTheme="minorHAnsi" w:cstheme="minorHAnsi"/>
                <w:b/>
                <w:szCs w:val="22"/>
                <w:lang w:eastAsia="en-US"/>
              </w:rPr>
              <w:t>)</w:t>
            </w:r>
          </w:p>
        </w:tc>
      </w:tr>
      <w:tr w:rsidR="00B478A2" w:rsidRPr="00C91F09" w14:paraId="4AD5F88C" w14:textId="77777777" w:rsidTr="00B54421">
        <w:tc>
          <w:tcPr>
            <w:tcW w:w="1238" w:type="pct"/>
            <w:vAlign w:val="center"/>
          </w:tcPr>
          <w:p w14:paraId="1FF515EF" w14:textId="77777777" w:rsidR="00B478A2" w:rsidRPr="00C91F09" w:rsidRDefault="00B478A2" w:rsidP="00B54421">
            <w:pPr>
              <w:rPr>
                <w:rFonts w:asciiTheme="minorHAnsi" w:hAnsiTheme="minorHAnsi" w:cstheme="minorHAnsi"/>
                <w:szCs w:val="22"/>
              </w:rPr>
            </w:pPr>
            <w:r w:rsidRPr="00C91F09">
              <w:rPr>
                <w:rFonts w:asciiTheme="minorHAnsi" w:hAnsiTheme="minorHAnsi" w:cstheme="minorHAnsi"/>
                <w:szCs w:val="22"/>
              </w:rPr>
              <w:t>Lecturer</w:t>
            </w:r>
          </w:p>
        </w:tc>
        <w:tc>
          <w:tcPr>
            <w:tcW w:w="2707" w:type="pct"/>
            <w:gridSpan w:val="4"/>
            <w:vAlign w:val="center"/>
          </w:tcPr>
          <w:p w14:paraId="18574140" w14:textId="77777777" w:rsidR="00B478A2" w:rsidRPr="00C91F09" w:rsidRDefault="00B478A2" w:rsidP="00B54421">
            <w:pPr>
              <w:rPr>
                <w:rFonts w:asciiTheme="minorHAnsi" w:hAnsiTheme="minorHAnsi" w:cstheme="minorHAnsi"/>
                <w:b/>
                <w:bCs/>
                <w:szCs w:val="22"/>
              </w:rPr>
            </w:pPr>
            <w:r w:rsidRPr="00C91F09">
              <w:rPr>
                <w:rFonts w:asciiTheme="minorHAnsi" w:hAnsiTheme="minorHAnsi" w:cstheme="minorHAnsi"/>
                <w:szCs w:val="22"/>
              </w:rPr>
              <w:t>Lecturers expected to hold at minimum a Level 8 legal qualification, preferably with a professional legal qualification. It is an advantage to have completed the Certi</w:t>
            </w:r>
            <w:r>
              <w:rPr>
                <w:rFonts w:asciiTheme="minorHAnsi" w:hAnsiTheme="minorHAnsi" w:cstheme="minorHAnsi"/>
                <w:szCs w:val="22"/>
              </w:rPr>
              <w:t>ficate in Education, Learning and Development</w:t>
            </w:r>
            <w:r w:rsidRPr="00C91F09">
              <w:rPr>
                <w:rFonts w:asciiTheme="minorHAnsi" w:hAnsiTheme="minorHAnsi" w:cstheme="minorHAnsi"/>
                <w:szCs w:val="22"/>
              </w:rPr>
              <w:t xml:space="preserve"> provided by Griffith College. </w:t>
            </w:r>
            <w:r w:rsidRPr="00C91F09">
              <w:rPr>
                <w:rFonts w:asciiTheme="minorHAnsi" w:hAnsiTheme="minorHAnsi" w:cstheme="minorHAnsi"/>
                <w:bCs/>
                <w:szCs w:val="22"/>
              </w:rPr>
              <w:t>Industry experience is beneficial but not a requirement.</w:t>
            </w:r>
          </w:p>
        </w:tc>
        <w:tc>
          <w:tcPr>
            <w:tcW w:w="1055" w:type="pct"/>
            <w:gridSpan w:val="2"/>
            <w:vAlign w:val="center"/>
          </w:tcPr>
          <w:p w14:paraId="666EFC67" w14:textId="77777777" w:rsidR="00B478A2" w:rsidRPr="00C91F09" w:rsidRDefault="00B478A2" w:rsidP="00B54421">
            <w:pPr>
              <w:jc w:val="center"/>
              <w:rPr>
                <w:rFonts w:asciiTheme="minorHAnsi" w:hAnsiTheme="minorHAnsi" w:cstheme="minorHAnsi"/>
                <w:szCs w:val="22"/>
              </w:rPr>
            </w:pPr>
            <w:r>
              <w:rPr>
                <w:rFonts w:asciiTheme="minorHAnsi" w:hAnsiTheme="minorHAnsi" w:cstheme="minorHAnsi"/>
                <w:szCs w:val="22"/>
              </w:rPr>
              <w:t>0.25 WTE</w:t>
            </w:r>
          </w:p>
        </w:tc>
      </w:tr>
    </w:tbl>
    <w:p w14:paraId="0DACF9BD" w14:textId="77777777" w:rsidR="00B478A2" w:rsidRDefault="00B478A2" w:rsidP="00B478A2">
      <w:pPr>
        <w:rPr>
          <w:rFonts w:asciiTheme="minorHAnsi" w:hAnsiTheme="minorHAnsi" w:cstheme="minorHAnsi"/>
          <w:szCs w:val="22"/>
        </w:rPr>
      </w:pPr>
    </w:p>
    <w:p w14:paraId="3FF58A32" w14:textId="77777777" w:rsidR="00B478A2" w:rsidRDefault="00B478A2" w:rsidP="00B478A2">
      <w:r>
        <w:br w:type="page"/>
      </w:r>
    </w:p>
    <w:tbl>
      <w:tblPr>
        <w:tblStyle w:val="TableGrid"/>
        <w:tblW w:w="5000" w:type="pct"/>
        <w:tblInd w:w="0" w:type="dxa"/>
        <w:tblLook w:val="04A0" w:firstRow="1" w:lastRow="0" w:firstColumn="1" w:lastColumn="0" w:noHBand="0" w:noVBand="1"/>
      </w:tblPr>
      <w:tblGrid>
        <w:gridCol w:w="4503"/>
        <w:gridCol w:w="2254"/>
        <w:gridCol w:w="2253"/>
      </w:tblGrid>
      <w:tr w:rsidR="00B478A2" w:rsidRPr="00C91F09" w14:paraId="6CE13660" w14:textId="77777777" w:rsidTr="00B54421">
        <w:tc>
          <w:tcPr>
            <w:tcW w:w="5000" w:type="pct"/>
            <w:gridSpan w:val="3"/>
            <w:shd w:val="clear" w:color="auto" w:fill="D9E2F3" w:themeFill="accent1" w:themeFillTint="33"/>
            <w:vAlign w:val="center"/>
          </w:tcPr>
          <w:p w14:paraId="49C38564" w14:textId="77777777" w:rsidR="00B478A2" w:rsidRPr="00C91F09" w:rsidRDefault="00B478A2" w:rsidP="00B54421">
            <w:pPr>
              <w:rPr>
                <w:rFonts w:asciiTheme="minorHAnsi" w:hAnsiTheme="minorHAnsi" w:cstheme="minorHAnsi"/>
                <w:b/>
                <w:szCs w:val="22"/>
              </w:rPr>
            </w:pPr>
            <w:r w:rsidRPr="00C91F09">
              <w:rPr>
                <w:rFonts w:asciiTheme="minorHAnsi" w:hAnsiTheme="minorHAnsi" w:cstheme="minorHAnsi"/>
                <w:b/>
                <w:szCs w:val="22"/>
              </w:rPr>
              <w:lastRenderedPageBreak/>
              <w:t xml:space="preserve">Analysis of required learning effort </w:t>
            </w:r>
          </w:p>
        </w:tc>
      </w:tr>
      <w:tr w:rsidR="00B478A2" w:rsidRPr="00C91F09" w14:paraId="4D98C799" w14:textId="77777777" w:rsidTr="00B54421">
        <w:trPr>
          <w:trHeight w:val="103"/>
        </w:trPr>
        <w:tc>
          <w:tcPr>
            <w:tcW w:w="2499" w:type="pct"/>
            <w:shd w:val="clear" w:color="auto" w:fill="D9E2F3" w:themeFill="accent1" w:themeFillTint="33"/>
            <w:vAlign w:val="center"/>
          </w:tcPr>
          <w:p w14:paraId="16EFF40B" w14:textId="77777777" w:rsidR="00B478A2" w:rsidRPr="00C91F09" w:rsidRDefault="00B478A2" w:rsidP="00B54421">
            <w:pPr>
              <w:rPr>
                <w:rFonts w:asciiTheme="minorHAnsi" w:hAnsiTheme="minorHAnsi" w:cstheme="minorHAnsi"/>
                <w:szCs w:val="22"/>
              </w:rPr>
            </w:pPr>
            <w:r w:rsidRPr="00C91F09">
              <w:rPr>
                <w:rFonts w:asciiTheme="minorHAnsi" w:hAnsiTheme="minorHAnsi" w:cstheme="minorHAnsi"/>
                <w:b/>
                <w:szCs w:val="22"/>
              </w:rPr>
              <w:t>*Effort while in contact with staff</w:t>
            </w:r>
          </w:p>
        </w:tc>
        <w:tc>
          <w:tcPr>
            <w:tcW w:w="1250" w:type="pct"/>
            <w:shd w:val="clear" w:color="auto" w:fill="D9E2F3" w:themeFill="accent1" w:themeFillTint="33"/>
            <w:vAlign w:val="center"/>
          </w:tcPr>
          <w:p w14:paraId="0E720485" w14:textId="77777777" w:rsidR="00B478A2" w:rsidRPr="00C91F09" w:rsidRDefault="00B478A2" w:rsidP="00B54421">
            <w:pPr>
              <w:jc w:val="center"/>
              <w:rPr>
                <w:rFonts w:asciiTheme="minorHAnsi" w:hAnsiTheme="minorHAnsi" w:cstheme="minorHAnsi"/>
                <w:b/>
                <w:szCs w:val="22"/>
              </w:rPr>
            </w:pPr>
            <w:r w:rsidRPr="00C91F09">
              <w:rPr>
                <w:rFonts w:asciiTheme="minorHAnsi" w:hAnsiTheme="minorHAnsi" w:cstheme="minorHAnsi"/>
                <w:b/>
                <w:szCs w:val="22"/>
              </w:rPr>
              <w:t>Minimum ratio teacher / learner</w:t>
            </w:r>
          </w:p>
        </w:tc>
        <w:tc>
          <w:tcPr>
            <w:tcW w:w="1250" w:type="pct"/>
            <w:shd w:val="clear" w:color="auto" w:fill="D9E2F3" w:themeFill="accent1" w:themeFillTint="33"/>
            <w:vAlign w:val="center"/>
          </w:tcPr>
          <w:p w14:paraId="47241079" w14:textId="77777777" w:rsidR="00B478A2" w:rsidRPr="00C91F09" w:rsidRDefault="00B478A2" w:rsidP="00B54421">
            <w:pPr>
              <w:jc w:val="center"/>
              <w:rPr>
                <w:rFonts w:asciiTheme="minorHAnsi" w:hAnsiTheme="minorHAnsi" w:cstheme="minorHAnsi"/>
                <w:szCs w:val="22"/>
              </w:rPr>
            </w:pPr>
            <w:r w:rsidRPr="00C91F09">
              <w:rPr>
                <w:rFonts w:asciiTheme="minorHAnsi" w:hAnsiTheme="minorHAnsi" w:cstheme="minorHAnsi"/>
                <w:b/>
                <w:szCs w:val="22"/>
              </w:rPr>
              <w:t>Hours</w:t>
            </w:r>
          </w:p>
        </w:tc>
      </w:tr>
      <w:tr w:rsidR="00B478A2" w:rsidRPr="00C91F09" w14:paraId="00658788" w14:textId="77777777" w:rsidTr="00B54421">
        <w:trPr>
          <w:trHeight w:val="70"/>
        </w:trPr>
        <w:tc>
          <w:tcPr>
            <w:tcW w:w="2499" w:type="pct"/>
            <w:shd w:val="clear" w:color="auto" w:fill="D9E2F3" w:themeFill="accent1" w:themeFillTint="33"/>
            <w:vAlign w:val="center"/>
          </w:tcPr>
          <w:p w14:paraId="792E2A05" w14:textId="77777777" w:rsidR="00B478A2" w:rsidRPr="00C91F09" w:rsidRDefault="00B478A2" w:rsidP="00B54421">
            <w:pPr>
              <w:rPr>
                <w:rFonts w:asciiTheme="minorHAnsi" w:hAnsiTheme="minorHAnsi" w:cstheme="minorHAnsi"/>
                <w:szCs w:val="22"/>
              </w:rPr>
            </w:pPr>
            <w:r w:rsidRPr="00C91F09">
              <w:rPr>
                <w:rFonts w:asciiTheme="minorHAnsi" w:hAnsiTheme="minorHAnsi" w:cstheme="minorHAnsi"/>
                <w:szCs w:val="22"/>
              </w:rPr>
              <w:tab/>
              <w:t>Classroom and demonstrations</w:t>
            </w:r>
          </w:p>
        </w:tc>
        <w:tc>
          <w:tcPr>
            <w:tcW w:w="1250" w:type="pct"/>
            <w:vAlign w:val="center"/>
          </w:tcPr>
          <w:p w14:paraId="7B0F022A" w14:textId="77777777" w:rsidR="00B478A2" w:rsidRPr="00C91F09" w:rsidRDefault="00B478A2" w:rsidP="00B54421">
            <w:pPr>
              <w:jc w:val="center"/>
              <w:rPr>
                <w:rFonts w:asciiTheme="minorHAnsi" w:hAnsiTheme="minorHAnsi" w:cstheme="minorHAnsi"/>
                <w:szCs w:val="22"/>
              </w:rPr>
            </w:pPr>
            <w:r w:rsidRPr="00C91F09">
              <w:rPr>
                <w:rFonts w:asciiTheme="minorHAnsi" w:hAnsiTheme="minorHAnsi" w:cstheme="minorHAnsi"/>
                <w:szCs w:val="22"/>
              </w:rPr>
              <w:t>1:80</w:t>
            </w:r>
          </w:p>
        </w:tc>
        <w:tc>
          <w:tcPr>
            <w:tcW w:w="1250" w:type="pct"/>
            <w:vAlign w:val="center"/>
          </w:tcPr>
          <w:p w14:paraId="09D30B4F" w14:textId="77777777" w:rsidR="00B478A2" w:rsidRPr="00C91F09" w:rsidRDefault="00B478A2" w:rsidP="00B54421">
            <w:pPr>
              <w:jc w:val="center"/>
              <w:rPr>
                <w:rFonts w:asciiTheme="minorHAnsi" w:hAnsiTheme="minorHAnsi" w:cstheme="minorHAnsi"/>
                <w:szCs w:val="22"/>
              </w:rPr>
            </w:pPr>
            <w:r w:rsidRPr="00C91F09">
              <w:rPr>
                <w:rFonts w:asciiTheme="minorHAnsi" w:hAnsiTheme="minorHAnsi" w:cstheme="minorHAnsi"/>
                <w:szCs w:val="22"/>
              </w:rPr>
              <w:t>21</w:t>
            </w:r>
          </w:p>
        </w:tc>
      </w:tr>
      <w:tr w:rsidR="00B478A2" w:rsidRPr="00C91F09" w14:paraId="31DFCC7D" w14:textId="77777777" w:rsidTr="00B54421">
        <w:tc>
          <w:tcPr>
            <w:tcW w:w="2499" w:type="pct"/>
            <w:shd w:val="clear" w:color="auto" w:fill="D9E2F3" w:themeFill="accent1" w:themeFillTint="33"/>
            <w:vAlign w:val="center"/>
          </w:tcPr>
          <w:p w14:paraId="520D17DD" w14:textId="77777777" w:rsidR="00B478A2" w:rsidRPr="00C91F09" w:rsidRDefault="00B478A2" w:rsidP="00B54421">
            <w:pPr>
              <w:pStyle w:val="ListParagraph"/>
              <w:rPr>
                <w:rFonts w:asciiTheme="minorHAnsi" w:hAnsiTheme="minorHAnsi" w:cstheme="minorHAnsi"/>
                <w:szCs w:val="22"/>
              </w:rPr>
            </w:pPr>
            <w:r w:rsidRPr="00C91F09">
              <w:rPr>
                <w:rFonts w:asciiTheme="minorHAnsi" w:hAnsiTheme="minorHAnsi" w:cstheme="minorHAnsi"/>
                <w:szCs w:val="22"/>
              </w:rPr>
              <w:t>Mentoring and small-group teaching</w:t>
            </w:r>
          </w:p>
        </w:tc>
        <w:tc>
          <w:tcPr>
            <w:tcW w:w="1250" w:type="pct"/>
            <w:vAlign w:val="center"/>
          </w:tcPr>
          <w:p w14:paraId="5B59609D" w14:textId="77777777" w:rsidR="00B478A2" w:rsidRPr="00C91F09" w:rsidRDefault="00B478A2" w:rsidP="00B54421">
            <w:pPr>
              <w:jc w:val="center"/>
              <w:rPr>
                <w:rFonts w:asciiTheme="minorHAnsi" w:hAnsiTheme="minorHAnsi" w:cstheme="minorHAnsi"/>
                <w:szCs w:val="22"/>
              </w:rPr>
            </w:pPr>
            <w:r>
              <w:rPr>
                <w:rFonts w:asciiTheme="minorHAnsi" w:hAnsiTheme="minorHAnsi" w:cstheme="minorHAnsi"/>
                <w:szCs w:val="22"/>
              </w:rPr>
              <w:t>-</w:t>
            </w:r>
          </w:p>
        </w:tc>
        <w:tc>
          <w:tcPr>
            <w:tcW w:w="1250" w:type="pct"/>
            <w:vAlign w:val="center"/>
          </w:tcPr>
          <w:p w14:paraId="0EDC3B68" w14:textId="77777777" w:rsidR="00B478A2" w:rsidRPr="00C91F09" w:rsidRDefault="00B478A2" w:rsidP="00B54421">
            <w:pPr>
              <w:jc w:val="center"/>
              <w:rPr>
                <w:rFonts w:asciiTheme="minorHAnsi" w:hAnsiTheme="minorHAnsi" w:cstheme="minorHAnsi"/>
                <w:szCs w:val="22"/>
              </w:rPr>
            </w:pPr>
            <w:r>
              <w:rPr>
                <w:rFonts w:asciiTheme="minorHAnsi" w:hAnsiTheme="minorHAnsi" w:cstheme="minorHAnsi"/>
                <w:szCs w:val="22"/>
              </w:rPr>
              <w:t>-</w:t>
            </w:r>
          </w:p>
        </w:tc>
      </w:tr>
      <w:tr w:rsidR="00B478A2" w:rsidRPr="00C91F09" w14:paraId="32025015" w14:textId="77777777" w:rsidTr="00B54421">
        <w:tc>
          <w:tcPr>
            <w:tcW w:w="2499" w:type="pct"/>
            <w:shd w:val="clear" w:color="auto" w:fill="D9E2F3" w:themeFill="accent1" w:themeFillTint="33"/>
            <w:vAlign w:val="center"/>
          </w:tcPr>
          <w:p w14:paraId="71B4AABA" w14:textId="77777777" w:rsidR="00B478A2" w:rsidRPr="00C91F09" w:rsidRDefault="00B478A2" w:rsidP="00B54421">
            <w:pPr>
              <w:rPr>
                <w:rFonts w:asciiTheme="minorHAnsi" w:hAnsiTheme="minorHAnsi" w:cstheme="minorHAnsi"/>
                <w:szCs w:val="22"/>
              </w:rPr>
            </w:pPr>
            <w:r w:rsidRPr="00C91F09">
              <w:rPr>
                <w:rFonts w:asciiTheme="minorHAnsi" w:hAnsiTheme="minorHAnsi" w:cstheme="minorHAnsi"/>
                <w:szCs w:val="22"/>
              </w:rPr>
              <w:tab/>
              <w:t>Other (specify)</w:t>
            </w:r>
          </w:p>
        </w:tc>
        <w:tc>
          <w:tcPr>
            <w:tcW w:w="1250" w:type="pct"/>
          </w:tcPr>
          <w:p w14:paraId="3B06A12C" w14:textId="77777777" w:rsidR="00B478A2" w:rsidRDefault="00B478A2" w:rsidP="00B54421">
            <w:pPr>
              <w:jc w:val="center"/>
            </w:pPr>
            <w:r w:rsidRPr="001F486C">
              <w:rPr>
                <w:rFonts w:asciiTheme="minorHAnsi" w:hAnsiTheme="minorHAnsi" w:cstheme="minorHAnsi"/>
                <w:szCs w:val="22"/>
              </w:rPr>
              <w:t>-</w:t>
            </w:r>
          </w:p>
        </w:tc>
        <w:tc>
          <w:tcPr>
            <w:tcW w:w="1250" w:type="pct"/>
          </w:tcPr>
          <w:p w14:paraId="0861FBB7" w14:textId="77777777" w:rsidR="00B478A2" w:rsidRDefault="00B478A2" w:rsidP="00B54421">
            <w:pPr>
              <w:jc w:val="center"/>
            </w:pPr>
            <w:r w:rsidRPr="001F486C">
              <w:rPr>
                <w:rFonts w:asciiTheme="minorHAnsi" w:hAnsiTheme="minorHAnsi" w:cstheme="minorHAnsi"/>
                <w:szCs w:val="22"/>
              </w:rPr>
              <w:t>-</w:t>
            </w:r>
          </w:p>
        </w:tc>
      </w:tr>
      <w:tr w:rsidR="00B478A2" w:rsidRPr="00C91F09" w14:paraId="75DAA098" w14:textId="77777777" w:rsidTr="00B54421">
        <w:tc>
          <w:tcPr>
            <w:tcW w:w="5000" w:type="pct"/>
            <w:gridSpan w:val="3"/>
            <w:shd w:val="clear" w:color="auto" w:fill="D9E2F3" w:themeFill="accent1" w:themeFillTint="33"/>
            <w:vAlign w:val="center"/>
          </w:tcPr>
          <w:p w14:paraId="1DC6FCBD" w14:textId="77777777" w:rsidR="00B478A2" w:rsidRPr="00C91F09" w:rsidRDefault="00B478A2" w:rsidP="00B54421">
            <w:pPr>
              <w:rPr>
                <w:rFonts w:asciiTheme="minorHAnsi" w:hAnsiTheme="minorHAnsi" w:cstheme="minorHAnsi"/>
                <w:szCs w:val="22"/>
              </w:rPr>
            </w:pPr>
            <w:r w:rsidRPr="00C91F09">
              <w:rPr>
                <w:rFonts w:asciiTheme="minorHAnsi" w:hAnsiTheme="minorHAnsi" w:cstheme="minorHAnsi"/>
                <w:b/>
                <w:szCs w:val="22"/>
              </w:rPr>
              <w:t>Independent Learning</w:t>
            </w:r>
          </w:p>
        </w:tc>
      </w:tr>
      <w:tr w:rsidR="00B478A2" w:rsidRPr="00C91F09" w14:paraId="7901C549" w14:textId="77777777" w:rsidTr="00B54421">
        <w:tc>
          <w:tcPr>
            <w:tcW w:w="3750" w:type="pct"/>
            <w:gridSpan w:val="2"/>
            <w:shd w:val="clear" w:color="auto" w:fill="D9E2F3" w:themeFill="accent1" w:themeFillTint="33"/>
            <w:vAlign w:val="center"/>
          </w:tcPr>
          <w:p w14:paraId="5F4FE16D" w14:textId="77777777" w:rsidR="00B478A2" w:rsidRPr="00C91F09" w:rsidRDefault="00B478A2" w:rsidP="00B54421">
            <w:pPr>
              <w:rPr>
                <w:rFonts w:asciiTheme="minorHAnsi" w:hAnsiTheme="minorHAnsi" w:cstheme="minorHAnsi"/>
                <w:szCs w:val="22"/>
              </w:rPr>
            </w:pPr>
            <w:r w:rsidRPr="00C91F09">
              <w:rPr>
                <w:rFonts w:asciiTheme="minorHAnsi" w:hAnsiTheme="minorHAnsi" w:cstheme="minorHAnsi"/>
                <w:szCs w:val="22"/>
              </w:rPr>
              <w:tab/>
              <w:t>Directed e-learning (hours)</w:t>
            </w:r>
          </w:p>
        </w:tc>
        <w:tc>
          <w:tcPr>
            <w:tcW w:w="1250" w:type="pct"/>
            <w:vAlign w:val="center"/>
          </w:tcPr>
          <w:p w14:paraId="1687F654" w14:textId="77777777" w:rsidR="00B478A2" w:rsidRPr="00C91F09" w:rsidRDefault="00B478A2" w:rsidP="00B54421">
            <w:pPr>
              <w:jc w:val="center"/>
              <w:rPr>
                <w:rFonts w:asciiTheme="minorHAnsi" w:hAnsiTheme="minorHAnsi" w:cstheme="minorHAnsi"/>
                <w:szCs w:val="22"/>
              </w:rPr>
            </w:pPr>
            <w:r>
              <w:rPr>
                <w:rFonts w:asciiTheme="minorHAnsi" w:hAnsiTheme="minorHAnsi" w:cstheme="minorHAnsi"/>
                <w:szCs w:val="22"/>
              </w:rPr>
              <w:t>-</w:t>
            </w:r>
          </w:p>
        </w:tc>
      </w:tr>
      <w:tr w:rsidR="00B478A2" w:rsidRPr="00C91F09" w14:paraId="665F52B6" w14:textId="77777777" w:rsidTr="00B54421">
        <w:tc>
          <w:tcPr>
            <w:tcW w:w="3750" w:type="pct"/>
            <w:gridSpan w:val="2"/>
            <w:shd w:val="clear" w:color="auto" w:fill="D9E2F3" w:themeFill="accent1" w:themeFillTint="33"/>
            <w:vAlign w:val="center"/>
          </w:tcPr>
          <w:p w14:paraId="53FA7A61" w14:textId="77777777" w:rsidR="00B478A2" w:rsidRPr="00C91F09" w:rsidRDefault="00B478A2" w:rsidP="00B54421">
            <w:pPr>
              <w:rPr>
                <w:rFonts w:asciiTheme="minorHAnsi" w:hAnsiTheme="minorHAnsi" w:cstheme="minorHAnsi"/>
                <w:szCs w:val="22"/>
              </w:rPr>
            </w:pPr>
            <w:r w:rsidRPr="00C91F09">
              <w:rPr>
                <w:rFonts w:asciiTheme="minorHAnsi" w:hAnsiTheme="minorHAnsi" w:cstheme="minorHAnsi"/>
                <w:szCs w:val="22"/>
              </w:rPr>
              <w:tab/>
              <w:t>Independent Learning (hours)</w:t>
            </w:r>
          </w:p>
        </w:tc>
        <w:tc>
          <w:tcPr>
            <w:tcW w:w="1250" w:type="pct"/>
            <w:vAlign w:val="center"/>
          </w:tcPr>
          <w:p w14:paraId="4B35B4A1" w14:textId="77777777" w:rsidR="00B478A2" w:rsidRPr="00C91F09" w:rsidRDefault="00B478A2" w:rsidP="00B54421">
            <w:pPr>
              <w:jc w:val="center"/>
              <w:rPr>
                <w:rFonts w:asciiTheme="minorHAnsi" w:hAnsiTheme="minorHAnsi" w:cstheme="minorHAnsi"/>
                <w:szCs w:val="22"/>
              </w:rPr>
            </w:pPr>
            <w:r w:rsidRPr="00C91F09">
              <w:rPr>
                <w:rFonts w:asciiTheme="minorHAnsi" w:hAnsiTheme="minorHAnsi" w:cstheme="minorHAnsi"/>
                <w:szCs w:val="22"/>
              </w:rPr>
              <w:t>104</w:t>
            </w:r>
          </w:p>
        </w:tc>
      </w:tr>
      <w:tr w:rsidR="00B478A2" w:rsidRPr="00C91F09" w14:paraId="07C323F7" w14:textId="77777777" w:rsidTr="00B54421">
        <w:tc>
          <w:tcPr>
            <w:tcW w:w="3750" w:type="pct"/>
            <w:gridSpan w:val="2"/>
            <w:shd w:val="clear" w:color="auto" w:fill="D9E2F3" w:themeFill="accent1" w:themeFillTint="33"/>
            <w:vAlign w:val="center"/>
          </w:tcPr>
          <w:p w14:paraId="71F5023B" w14:textId="77777777" w:rsidR="00B478A2" w:rsidRPr="00C91F09" w:rsidRDefault="00B478A2" w:rsidP="00B54421">
            <w:pPr>
              <w:rPr>
                <w:rFonts w:asciiTheme="minorHAnsi" w:hAnsiTheme="minorHAnsi" w:cstheme="minorHAnsi"/>
                <w:szCs w:val="22"/>
              </w:rPr>
            </w:pPr>
            <w:r w:rsidRPr="00C91F09">
              <w:rPr>
                <w:rFonts w:asciiTheme="minorHAnsi" w:hAnsiTheme="minorHAnsi" w:cstheme="minorHAnsi"/>
                <w:szCs w:val="22"/>
              </w:rPr>
              <w:tab/>
              <w:t>Other hours (specify)</w:t>
            </w:r>
          </w:p>
        </w:tc>
        <w:tc>
          <w:tcPr>
            <w:tcW w:w="1250" w:type="pct"/>
          </w:tcPr>
          <w:p w14:paraId="5F6383C6" w14:textId="77777777" w:rsidR="00B478A2" w:rsidRDefault="00B478A2" w:rsidP="00B54421">
            <w:pPr>
              <w:jc w:val="center"/>
            </w:pPr>
            <w:r w:rsidRPr="00432494">
              <w:rPr>
                <w:rFonts w:asciiTheme="minorHAnsi" w:hAnsiTheme="minorHAnsi" w:cstheme="minorHAnsi"/>
                <w:szCs w:val="22"/>
              </w:rPr>
              <w:t>-</w:t>
            </w:r>
          </w:p>
        </w:tc>
      </w:tr>
      <w:tr w:rsidR="00B478A2" w:rsidRPr="00C91F09" w14:paraId="1A73C6EA" w14:textId="77777777" w:rsidTr="00B54421">
        <w:tc>
          <w:tcPr>
            <w:tcW w:w="3750" w:type="pct"/>
            <w:gridSpan w:val="2"/>
            <w:shd w:val="clear" w:color="auto" w:fill="D9E2F3" w:themeFill="accent1" w:themeFillTint="33"/>
            <w:vAlign w:val="center"/>
          </w:tcPr>
          <w:p w14:paraId="644776D2" w14:textId="77777777" w:rsidR="00B478A2" w:rsidRPr="00C91F09" w:rsidRDefault="00B478A2" w:rsidP="00B54421">
            <w:pPr>
              <w:rPr>
                <w:rFonts w:asciiTheme="minorHAnsi" w:hAnsiTheme="minorHAnsi" w:cstheme="minorHAnsi"/>
                <w:szCs w:val="22"/>
              </w:rPr>
            </w:pPr>
            <w:r w:rsidRPr="00C91F09">
              <w:rPr>
                <w:rFonts w:asciiTheme="minorHAnsi" w:hAnsiTheme="minorHAnsi" w:cstheme="minorHAnsi"/>
                <w:szCs w:val="22"/>
              </w:rPr>
              <w:tab/>
              <w:t xml:space="preserve">Work-based learning hours of learning effort </w:t>
            </w:r>
          </w:p>
        </w:tc>
        <w:tc>
          <w:tcPr>
            <w:tcW w:w="1250" w:type="pct"/>
          </w:tcPr>
          <w:p w14:paraId="24A64A0E" w14:textId="77777777" w:rsidR="00B478A2" w:rsidRDefault="00B478A2" w:rsidP="00B54421">
            <w:pPr>
              <w:jc w:val="center"/>
            </w:pPr>
            <w:r w:rsidRPr="00432494">
              <w:rPr>
                <w:rFonts w:asciiTheme="minorHAnsi" w:hAnsiTheme="minorHAnsi" w:cstheme="minorHAnsi"/>
                <w:szCs w:val="22"/>
              </w:rPr>
              <w:t>-</w:t>
            </w:r>
          </w:p>
        </w:tc>
      </w:tr>
      <w:tr w:rsidR="00B478A2" w:rsidRPr="00C91F09" w14:paraId="0B61F651" w14:textId="77777777" w:rsidTr="00B54421">
        <w:trPr>
          <w:trHeight w:val="221"/>
        </w:trPr>
        <w:tc>
          <w:tcPr>
            <w:tcW w:w="3750" w:type="pct"/>
            <w:gridSpan w:val="2"/>
            <w:shd w:val="clear" w:color="auto" w:fill="D9E2F3" w:themeFill="accent1" w:themeFillTint="33"/>
            <w:vAlign w:val="center"/>
          </w:tcPr>
          <w:p w14:paraId="66A2D1F4" w14:textId="77777777" w:rsidR="00B478A2" w:rsidRPr="00C91F09" w:rsidRDefault="00B478A2" w:rsidP="00B54421">
            <w:pPr>
              <w:rPr>
                <w:rFonts w:asciiTheme="minorHAnsi" w:hAnsiTheme="minorHAnsi" w:cstheme="minorHAnsi"/>
                <w:szCs w:val="22"/>
              </w:rPr>
            </w:pPr>
            <w:r w:rsidRPr="00C91F09">
              <w:rPr>
                <w:rFonts w:asciiTheme="minorHAnsi" w:hAnsiTheme="minorHAnsi" w:cstheme="minorHAnsi"/>
                <w:b/>
                <w:szCs w:val="22"/>
              </w:rPr>
              <w:t>Total Effort (hours)</w:t>
            </w:r>
          </w:p>
        </w:tc>
        <w:tc>
          <w:tcPr>
            <w:tcW w:w="1250" w:type="pct"/>
            <w:vAlign w:val="center"/>
          </w:tcPr>
          <w:p w14:paraId="0F5D5A68" w14:textId="77777777" w:rsidR="00B478A2" w:rsidRPr="00C91F09" w:rsidRDefault="00B478A2" w:rsidP="00B54421">
            <w:pPr>
              <w:jc w:val="center"/>
              <w:rPr>
                <w:rFonts w:asciiTheme="minorHAnsi" w:hAnsiTheme="minorHAnsi" w:cstheme="minorHAnsi"/>
                <w:szCs w:val="22"/>
              </w:rPr>
            </w:pPr>
            <w:r w:rsidRPr="00C91F09">
              <w:rPr>
                <w:rFonts w:asciiTheme="minorHAnsi" w:hAnsiTheme="minorHAnsi" w:cstheme="minorHAnsi"/>
                <w:szCs w:val="22"/>
              </w:rPr>
              <w:t>125</w:t>
            </w:r>
          </w:p>
        </w:tc>
      </w:tr>
    </w:tbl>
    <w:p w14:paraId="48332D2F" w14:textId="77777777" w:rsidR="00B478A2" w:rsidRDefault="00B478A2" w:rsidP="00B478A2">
      <w:pPr>
        <w:rPr>
          <w:rFonts w:asciiTheme="minorHAnsi" w:hAnsiTheme="minorHAnsi" w:cstheme="minorHAnsi"/>
          <w:szCs w:val="22"/>
        </w:rPr>
      </w:pPr>
    </w:p>
    <w:tbl>
      <w:tblPr>
        <w:tblStyle w:val="TableGrid"/>
        <w:tblW w:w="0" w:type="auto"/>
        <w:tblInd w:w="0" w:type="dxa"/>
        <w:tblLook w:val="04A0" w:firstRow="1" w:lastRow="0" w:firstColumn="1" w:lastColumn="0" w:noHBand="0" w:noVBand="1"/>
      </w:tblPr>
      <w:tblGrid>
        <w:gridCol w:w="1912"/>
        <w:gridCol w:w="1296"/>
        <w:gridCol w:w="1252"/>
        <w:gridCol w:w="1673"/>
        <w:gridCol w:w="1458"/>
        <w:gridCol w:w="1419"/>
      </w:tblGrid>
      <w:tr w:rsidR="00B478A2" w:rsidRPr="00B870F9" w14:paraId="711C0681" w14:textId="77777777" w:rsidTr="00B54421">
        <w:tc>
          <w:tcPr>
            <w:tcW w:w="9015" w:type="dxa"/>
            <w:gridSpan w:val="6"/>
            <w:shd w:val="clear" w:color="auto" w:fill="D9E2F3" w:themeFill="accent1" w:themeFillTint="33"/>
          </w:tcPr>
          <w:p w14:paraId="6E5940E8" w14:textId="77777777" w:rsidR="00B478A2" w:rsidRPr="00B870F9" w:rsidRDefault="00B478A2" w:rsidP="00B54421">
            <w:pPr>
              <w:jc w:val="center"/>
              <w:rPr>
                <w:b/>
                <w:bCs/>
                <w:szCs w:val="22"/>
              </w:rPr>
            </w:pPr>
            <w:r w:rsidRPr="00B870F9">
              <w:rPr>
                <w:b/>
                <w:bCs/>
                <w:szCs w:val="22"/>
              </w:rPr>
              <w:t>Allocation of Marks</w:t>
            </w:r>
          </w:p>
        </w:tc>
      </w:tr>
      <w:tr w:rsidR="00B478A2" w:rsidRPr="00B870F9" w14:paraId="09D5CFB8" w14:textId="77777777" w:rsidTr="00B54421">
        <w:tc>
          <w:tcPr>
            <w:tcW w:w="1937" w:type="dxa"/>
            <w:shd w:val="clear" w:color="auto" w:fill="D9E2F3" w:themeFill="accent1" w:themeFillTint="33"/>
          </w:tcPr>
          <w:p w14:paraId="5B327760" w14:textId="77777777" w:rsidR="00B478A2" w:rsidRPr="00B870F9" w:rsidRDefault="00B478A2" w:rsidP="00B54421">
            <w:pPr>
              <w:rPr>
                <w:b/>
                <w:bCs/>
                <w:szCs w:val="22"/>
              </w:rPr>
            </w:pPr>
          </w:p>
        </w:tc>
        <w:tc>
          <w:tcPr>
            <w:tcW w:w="1198" w:type="dxa"/>
            <w:shd w:val="clear" w:color="auto" w:fill="D9E2F3" w:themeFill="accent1" w:themeFillTint="33"/>
            <w:vAlign w:val="center"/>
          </w:tcPr>
          <w:p w14:paraId="3A1A8919" w14:textId="77777777" w:rsidR="00B478A2" w:rsidRPr="00B870F9" w:rsidRDefault="00B478A2" w:rsidP="00B54421">
            <w:pPr>
              <w:jc w:val="center"/>
              <w:rPr>
                <w:b/>
                <w:bCs/>
                <w:szCs w:val="22"/>
              </w:rPr>
            </w:pPr>
            <w:r w:rsidRPr="00B870F9">
              <w:rPr>
                <w:b/>
                <w:bCs/>
                <w:szCs w:val="22"/>
              </w:rPr>
              <w:t>Continuous Assessment</w:t>
            </w:r>
          </w:p>
        </w:tc>
        <w:tc>
          <w:tcPr>
            <w:tcW w:w="1254" w:type="dxa"/>
            <w:shd w:val="clear" w:color="auto" w:fill="D9E2F3" w:themeFill="accent1" w:themeFillTint="33"/>
            <w:vAlign w:val="center"/>
          </w:tcPr>
          <w:p w14:paraId="270A5B27" w14:textId="77777777" w:rsidR="00B478A2" w:rsidRPr="00B870F9" w:rsidRDefault="00B478A2" w:rsidP="00B54421">
            <w:pPr>
              <w:jc w:val="center"/>
              <w:rPr>
                <w:b/>
                <w:bCs/>
                <w:szCs w:val="22"/>
              </w:rPr>
            </w:pPr>
            <w:r w:rsidRPr="00B870F9">
              <w:rPr>
                <w:b/>
                <w:bCs/>
                <w:szCs w:val="22"/>
              </w:rPr>
              <w:t>Supervised Project</w:t>
            </w:r>
          </w:p>
        </w:tc>
        <w:tc>
          <w:tcPr>
            <w:tcW w:w="1699" w:type="dxa"/>
            <w:shd w:val="clear" w:color="auto" w:fill="D9E2F3" w:themeFill="accent1" w:themeFillTint="33"/>
            <w:vAlign w:val="center"/>
          </w:tcPr>
          <w:p w14:paraId="53579D31" w14:textId="77777777" w:rsidR="00B478A2" w:rsidRPr="00B870F9" w:rsidRDefault="00B478A2" w:rsidP="00B54421">
            <w:pPr>
              <w:jc w:val="center"/>
              <w:rPr>
                <w:b/>
                <w:bCs/>
                <w:szCs w:val="22"/>
              </w:rPr>
            </w:pPr>
            <w:r w:rsidRPr="00B870F9">
              <w:rPr>
                <w:b/>
                <w:bCs/>
                <w:szCs w:val="22"/>
              </w:rPr>
              <w:t>Proctored Practical Exam.</w:t>
            </w:r>
          </w:p>
        </w:tc>
        <w:tc>
          <w:tcPr>
            <w:tcW w:w="1474" w:type="dxa"/>
            <w:shd w:val="clear" w:color="auto" w:fill="D9E2F3" w:themeFill="accent1" w:themeFillTint="33"/>
            <w:vAlign w:val="center"/>
          </w:tcPr>
          <w:p w14:paraId="63363937" w14:textId="77777777" w:rsidR="00B478A2" w:rsidRPr="00B870F9" w:rsidRDefault="00B478A2" w:rsidP="00B54421">
            <w:pPr>
              <w:jc w:val="center"/>
              <w:rPr>
                <w:b/>
                <w:bCs/>
                <w:szCs w:val="22"/>
              </w:rPr>
            </w:pPr>
            <w:r w:rsidRPr="00B870F9">
              <w:rPr>
                <w:b/>
                <w:bCs/>
                <w:szCs w:val="22"/>
              </w:rPr>
              <w:t>Proctored Written Exam</w:t>
            </w:r>
          </w:p>
        </w:tc>
        <w:tc>
          <w:tcPr>
            <w:tcW w:w="1453" w:type="dxa"/>
            <w:shd w:val="clear" w:color="auto" w:fill="D9E2F3" w:themeFill="accent1" w:themeFillTint="33"/>
            <w:vAlign w:val="center"/>
          </w:tcPr>
          <w:p w14:paraId="323DD9B5" w14:textId="77777777" w:rsidR="00B478A2" w:rsidRPr="00B870F9" w:rsidRDefault="00B478A2" w:rsidP="00B54421">
            <w:pPr>
              <w:jc w:val="center"/>
              <w:rPr>
                <w:b/>
                <w:bCs/>
                <w:szCs w:val="22"/>
              </w:rPr>
            </w:pPr>
            <w:r w:rsidRPr="00B870F9">
              <w:rPr>
                <w:b/>
                <w:bCs/>
                <w:szCs w:val="22"/>
              </w:rPr>
              <w:t>Total</w:t>
            </w:r>
          </w:p>
        </w:tc>
      </w:tr>
      <w:tr w:rsidR="00B478A2" w:rsidRPr="00B870F9" w14:paraId="307839AB" w14:textId="77777777" w:rsidTr="00B54421">
        <w:tc>
          <w:tcPr>
            <w:tcW w:w="1937" w:type="dxa"/>
            <w:shd w:val="clear" w:color="auto" w:fill="D9E2F3" w:themeFill="accent1" w:themeFillTint="33"/>
          </w:tcPr>
          <w:p w14:paraId="6A8E8CF3" w14:textId="77777777" w:rsidR="00B478A2" w:rsidRPr="00B870F9" w:rsidRDefault="00B478A2" w:rsidP="00B54421">
            <w:pPr>
              <w:rPr>
                <w:b/>
                <w:bCs/>
                <w:szCs w:val="22"/>
              </w:rPr>
            </w:pPr>
            <w:r w:rsidRPr="00B870F9">
              <w:rPr>
                <w:b/>
                <w:bCs/>
                <w:szCs w:val="22"/>
              </w:rPr>
              <w:t>Percentage Contribution</w:t>
            </w:r>
          </w:p>
        </w:tc>
        <w:tc>
          <w:tcPr>
            <w:tcW w:w="1198" w:type="dxa"/>
            <w:vAlign w:val="center"/>
          </w:tcPr>
          <w:p w14:paraId="79C22E93" w14:textId="77777777" w:rsidR="00B478A2" w:rsidRPr="00B870F9" w:rsidRDefault="00B478A2" w:rsidP="00B54421">
            <w:pPr>
              <w:jc w:val="center"/>
              <w:rPr>
                <w:szCs w:val="22"/>
              </w:rPr>
            </w:pPr>
            <w:r>
              <w:rPr>
                <w:szCs w:val="22"/>
              </w:rPr>
              <w:t>50%</w:t>
            </w:r>
          </w:p>
        </w:tc>
        <w:tc>
          <w:tcPr>
            <w:tcW w:w="1254" w:type="dxa"/>
            <w:vAlign w:val="center"/>
          </w:tcPr>
          <w:p w14:paraId="2981B79D" w14:textId="77777777" w:rsidR="00B478A2" w:rsidRPr="00B870F9" w:rsidRDefault="00B478A2" w:rsidP="00B54421">
            <w:pPr>
              <w:jc w:val="center"/>
              <w:rPr>
                <w:szCs w:val="22"/>
              </w:rPr>
            </w:pPr>
            <w:r>
              <w:rPr>
                <w:szCs w:val="22"/>
              </w:rPr>
              <w:t>-</w:t>
            </w:r>
          </w:p>
        </w:tc>
        <w:tc>
          <w:tcPr>
            <w:tcW w:w="1699" w:type="dxa"/>
            <w:vAlign w:val="center"/>
          </w:tcPr>
          <w:p w14:paraId="706DBF66" w14:textId="77777777" w:rsidR="00B478A2" w:rsidRPr="00B870F9" w:rsidRDefault="00B478A2" w:rsidP="00B54421">
            <w:pPr>
              <w:jc w:val="center"/>
              <w:rPr>
                <w:szCs w:val="22"/>
              </w:rPr>
            </w:pPr>
            <w:r>
              <w:rPr>
                <w:szCs w:val="22"/>
              </w:rPr>
              <w:t>-</w:t>
            </w:r>
          </w:p>
        </w:tc>
        <w:tc>
          <w:tcPr>
            <w:tcW w:w="1474" w:type="dxa"/>
            <w:vAlign w:val="center"/>
          </w:tcPr>
          <w:p w14:paraId="3D54A331" w14:textId="77777777" w:rsidR="00B478A2" w:rsidRPr="00B870F9" w:rsidRDefault="00B478A2" w:rsidP="00B54421">
            <w:pPr>
              <w:jc w:val="center"/>
              <w:rPr>
                <w:szCs w:val="22"/>
              </w:rPr>
            </w:pPr>
            <w:r>
              <w:rPr>
                <w:szCs w:val="22"/>
              </w:rPr>
              <w:t>50%</w:t>
            </w:r>
          </w:p>
        </w:tc>
        <w:tc>
          <w:tcPr>
            <w:tcW w:w="1453" w:type="dxa"/>
            <w:shd w:val="clear" w:color="auto" w:fill="D9E2F3" w:themeFill="accent1" w:themeFillTint="33"/>
            <w:vAlign w:val="center"/>
          </w:tcPr>
          <w:p w14:paraId="73056172" w14:textId="77777777" w:rsidR="00B478A2" w:rsidRPr="00B870F9" w:rsidRDefault="00B478A2" w:rsidP="00B54421">
            <w:pPr>
              <w:jc w:val="center"/>
              <w:rPr>
                <w:b/>
                <w:bCs/>
                <w:szCs w:val="22"/>
              </w:rPr>
            </w:pPr>
            <w:r w:rsidRPr="00B870F9">
              <w:rPr>
                <w:b/>
                <w:szCs w:val="22"/>
              </w:rPr>
              <w:t>100</w:t>
            </w:r>
            <w:r w:rsidRPr="00B870F9">
              <w:rPr>
                <w:b/>
                <w:bCs/>
                <w:szCs w:val="22"/>
              </w:rPr>
              <w:t>%</w:t>
            </w:r>
          </w:p>
        </w:tc>
      </w:tr>
    </w:tbl>
    <w:p w14:paraId="0F49144A" w14:textId="77777777" w:rsidR="00B478A2" w:rsidRPr="00FF3072" w:rsidRDefault="00B478A2" w:rsidP="00B478A2">
      <w:pPr>
        <w:rPr>
          <w:rFonts w:asciiTheme="minorHAnsi" w:hAnsiTheme="minorHAnsi" w:cstheme="minorHAnsi"/>
          <w:szCs w:val="22"/>
        </w:rPr>
      </w:pPr>
    </w:p>
    <w:p w14:paraId="019C1315" w14:textId="77777777" w:rsidR="00B478A2" w:rsidRPr="00FF3072" w:rsidRDefault="00B478A2" w:rsidP="00B478A2">
      <w:pPr>
        <w:pStyle w:val="Heading3"/>
      </w:pPr>
      <w:r>
        <w:t>Module aims and o</w:t>
      </w:r>
      <w:r w:rsidRPr="00FF3072">
        <w:t>bjectives</w:t>
      </w:r>
    </w:p>
    <w:p w14:paraId="5B94C8F2" w14:textId="77777777" w:rsidR="00B478A2" w:rsidRPr="00FF3072" w:rsidRDefault="00B478A2" w:rsidP="00B478A2">
      <w:pPr>
        <w:jc w:val="both"/>
        <w:rPr>
          <w:rFonts w:asciiTheme="minorHAnsi" w:hAnsiTheme="minorHAnsi" w:cstheme="minorHAnsi"/>
          <w:szCs w:val="22"/>
        </w:rPr>
      </w:pPr>
      <w:r w:rsidRPr="00FF3072">
        <w:rPr>
          <w:rFonts w:asciiTheme="minorHAnsi" w:hAnsiTheme="minorHAnsi" w:cstheme="minorHAnsi"/>
          <w:szCs w:val="22"/>
          <w:lang w:eastAsia="en-US"/>
        </w:rPr>
        <w:t xml:space="preserve">The purpose of the Introduction to the Irish Legal System module is </w:t>
      </w:r>
      <w:r w:rsidRPr="00FF3072">
        <w:rPr>
          <w:rFonts w:asciiTheme="minorHAnsi" w:hAnsiTheme="minorHAnsi" w:cstheme="minorHAnsi"/>
          <w:szCs w:val="22"/>
        </w:rPr>
        <w:t xml:space="preserve">to provide </w:t>
      </w:r>
      <w:r>
        <w:rPr>
          <w:rFonts w:asciiTheme="minorHAnsi" w:hAnsiTheme="minorHAnsi" w:cstheme="minorHAnsi"/>
          <w:szCs w:val="22"/>
        </w:rPr>
        <w:t>learner</w:t>
      </w:r>
      <w:r w:rsidRPr="00FF3072">
        <w:rPr>
          <w:rFonts w:asciiTheme="minorHAnsi" w:hAnsiTheme="minorHAnsi" w:cstheme="minorHAnsi"/>
          <w:szCs w:val="22"/>
        </w:rPr>
        <w:t>s with an appreciation of key legal principles and an understanding of the Irish legal system and how it operates.</w:t>
      </w:r>
    </w:p>
    <w:p w14:paraId="75EDCE38" w14:textId="77777777" w:rsidR="00B478A2" w:rsidRDefault="00B478A2" w:rsidP="00B478A2">
      <w:pPr>
        <w:jc w:val="both"/>
        <w:rPr>
          <w:rFonts w:asciiTheme="minorHAnsi" w:hAnsiTheme="minorHAnsi" w:cstheme="minorHAnsi"/>
          <w:szCs w:val="22"/>
          <w:lang w:eastAsia="en-US"/>
        </w:rPr>
      </w:pPr>
      <w:r w:rsidRPr="00FF3072">
        <w:rPr>
          <w:rFonts w:asciiTheme="minorHAnsi" w:hAnsiTheme="minorHAnsi" w:cstheme="minorHAnsi"/>
          <w:szCs w:val="22"/>
          <w:lang w:eastAsia="en-US"/>
        </w:rPr>
        <w:t xml:space="preserve">The module covers foundational concepts which </w:t>
      </w:r>
      <w:r>
        <w:rPr>
          <w:rFonts w:asciiTheme="minorHAnsi" w:hAnsiTheme="minorHAnsi" w:cstheme="minorHAnsi"/>
          <w:szCs w:val="22"/>
          <w:lang w:eastAsia="en-US"/>
        </w:rPr>
        <w:t>learners require</w:t>
      </w:r>
      <w:r w:rsidRPr="00FF3072">
        <w:rPr>
          <w:rFonts w:asciiTheme="minorHAnsi" w:hAnsiTheme="minorHAnsi" w:cstheme="minorHAnsi"/>
          <w:szCs w:val="22"/>
          <w:lang w:eastAsia="en-US"/>
        </w:rPr>
        <w:t xml:space="preserve"> to progress t</w:t>
      </w:r>
      <w:r>
        <w:rPr>
          <w:rFonts w:asciiTheme="minorHAnsi" w:hAnsiTheme="minorHAnsi" w:cstheme="minorHAnsi"/>
          <w:szCs w:val="22"/>
          <w:lang w:eastAsia="en-US"/>
        </w:rPr>
        <w:t>hrough the programme, including:</w:t>
      </w:r>
      <w:r w:rsidRPr="00FF3072">
        <w:rPr>
          <w:rFonts w:asciiTheme="minorHAnsi" w:hAnsiTheme="minorHAnsi" w:cstheme="minorHAnsi"/>
          <w:szCs w:val="22"/>
          <w:lang w:eastAsia="en-US"/>
        </w:rPr>
        <w:t xml:space="preserve"> an appreciation for the different sources of law; how to interpret said sources; legal research; academic writing; the concept of precedent and its effects; the hierarchy and jurisdiction of the different Irish courts; court practice and the respective roles of barristers, solicitors and legal executives. </w:t>
      </w:r>
    </w:p>
    <w:p w14:paraId="3F0D2BA3" w14:textId="77777777" w:rsidR="00B478A2" w:rsidRPr="00FF3072" w:rsidRDefault="00B478A2" w:rsidP="00B478A2">
      <w:pPr>
        <w:jc w:val="both"/>
        <w:rPr>
          <w:rFonts w:asciiTheme="minorHAnsi" w:hAnsiTheme="minorHAnsi" w:cstheme="minorHAnsi"/>
          <w:szCs w:val="22"/>
          <w:lang w:eastAsia="en-US"/>
        </w:rPr>
      </w:pPr>
    </w:p>
    <w:p w14:paraId="774FD844" w14:textId="77777777" w:rsidR="00B478A2" w:rsidRPr="00FF3072" w:rsidRDefault="00B478A2" w:rsidP="00B478A2">
      <w:pPr>
        <w:jc w:val="both"/>
        <w:rPr>
          <w:rFonts w:asciiTheme="minorHAnsi" w:hAnsiTheme="minorHAnsi" w:cstheme="minorHAnsi"/>
          <w:szCs w:val="22"/>
          <w:lang w:eastAsia="en-US"/>
        </w:rPr>
      </w:pPr>
      <w:r>
        <w:rPr>
          <w:rFonts w:asciiTheme="minorHAnsi" w:hAnsiTheme="minorHAnsi" w:cstheme="minorHAnsi"/>
          <w:szCs w:val="22"/>
          <w:lang w:eastAsia="en-US"/>
        </w:rPr>
        <w:t>Learners are taught</w:t>
      </w:r>
      <w:r w:rsidRPr="00FF3072">
        <w:rPr>
          <w:rFonts w:asciiTheme="minorHAnsi" w:hAnsiTheme="minorHAnsi" w:cstheme="minorHAnsi"/>
          <w:szCs w:val="22"/>
          <w:lang w:eastAsia="en-US"/>
        </w:rPr>
        <w:t xml:space="preserve"> how</w:t>
      </w:r>
      <w:r>
        <w:rPr>
          <w:rFonts w:asciiTheme="minorHAnsi" w:hAnsiTheme="minorHAnsi" w:cstheme="minorHAnsi"/>
          <w:szCs w:val="22"/>
          <w:lang w:eastAsia="en-US"/>
        </w:rPr>
        <w:t xml:space="preserve"> to</w:t>
      </w:r>
      <w:r w:rsidRPr="00FF3072">
        <w:rPr>
          <w:rFonts w:asciiTheme="minorHAnsi" w:hAnsiTheme="minorHAnsi" w:cstheme="minorHAnsi"/>
          <w:szCs w:val="22"/>
          <w:lang w:eastAsia="en-US"/>
        </w:rPr>
        <w:t xml:space="preserve"> navigate research platforms such as </w:t>
      </w:r>
      <w:proofErr w:type="spellStart"/>
      <w:r w:rsidRPr="00FF3072">
        <w:rPr>
          <w:rFonts w:asciiTheme="minorHAnsi" w:hAnsiTheme="minorHAnsi" w:cstheme="minorHAnsi"/>
          <w:szCs w:val="22"/>
          <w:lang w:eastAsia="en-US"/>
        </w:rPr>
        <w:t>JustisOne</w:t>
      </w:r>
      <w:proofErr w:type="spellEnd"/>
      <w:r w:rsidRPr="00FF3072">
        <w:rPr>
          <w:rFonts w:asciiTheme="minorHAnsi" w:hAnsiTheme="minorHAnsi" w:cstheme="minorHAnsi"/>
          <w:szCs w:val="22"/>
          <w:lang w:eastAsia="en-US"/>
        </w:rPr>
        <w:t>, Westlaw, Westlaw UK, LexisNexis etc.; how to record methods of research; how to engage with hard-copy resources (e.g. textbooks, law reports etc</w:t>
      </w:r>
      <w:r>
        <w:rPr>
          <w:rFonts w:asciiTheme="minorHAnsi" w:hAnsiTheme="minorHAnsi" w:cstheme="minorHAnsi"/>
          <w:szCs w:val="22"/>
          <w:lang w:eastAsia="en-US"/>
        </w:rPr>
        <w:t>.</w:t>
      </w:r>
      <w:r w:rsidRPr="00FF3072">
        <w:rPr>
          <w:rFonts w:asciiTheme="minorHAnsi" w:hAnsiTheme="minorHAnsi" w:cstheme="minorHAnsi"/>
          <w:szCs w:val="22"/>
          <w:lang w:eastAsia="en-US"/>
        </w:rPr>
        <w:t>); how to engage with e-resources (e.g. e-journals, the Irish Statute Book, reports etc</w:t>
      </w:r>
      <w:r>
        <w:rPr>
          <w:rFonts w:asciiTheme="minorHAnsi" w:hAnsiTheme="minorHAnsi" w:cstheme="minorHAnsi"/>
          <w:szCs w:val="22"/>
          <w:lang w:eastAsia="en-US"/>
        </w:rPr>
        <w:t>.</w:t>
      </w:r>
      <w:r w:rsidRPr="00FF3072">
        <w:rPr>
          <w:rFonts w:asciiTheme="minorHAnsi" w:hAnsiTheme="minorHAnsi" w:cstheme="minorHAnsi"/>
          <w:szCs w:val="22"/>
          <w:lang w:eastAsia="en-US"/>
        </w:rPr>
        <w:t>); how to employ their knowledge of precedent to locate relevant case</w:t>
      </w:r>
      <w:r>
        <w:rPr>
          <w:rFonts w:asciiTheme="minorHAnsi" w:hAnsiTheme="minorHAnsi" w:cstheme="minorHAnsi"/>
          <w:szCs w:val="22"/>
          <w:lang w:eastAsia="en-US"/>
        </w:rPr>
        <w:t xml:space="preserve"> </w:t>
      </w:r>
      <w:r w:rsidRPr="00FF3072">
        <w:rPr>
          <w:rFonts w:asciiTheme="minorHAnsi" w:hAnsiTheme="minorHAnsi" w:cstheme="minorHAnsi"/>
          <w:szCs w:val="22"/>
          <w:lang w:eastAsia="en-US"/>
        </w:rPr>
        <w:t>law; how to analyse and solve legal issues through application of precedent and other primary/secondary sources; and how to cite effectively using OSCOLA</w:t>
      </w:r>
      <w:r>
        <w:rPr>
          <w:rFonts w:asciiTheme="minorHAnsi" w:hAnsiTheme="minorHAnsi" w:cstheme="minorHAnsi"/>
          <w:szCs w:val="22"/>
          <w:lang w:eastAsia="en-US"/>
        </w:rPr>
        <w:t xml:space="preserve"> (Oxford University </w:t>
      </w:r>
      <w:r w:rsidRPr="00FF3072">
        <w:rPr>
          <w:rFonts w:asciiTheme="minorHAnsi" w:hAnsiTheme="minorHAnsi" w:cstheme="minorHAnsi"/>
          <w:szCs w:val="22"/>
          <w:lang w:eastAsia="en-US"/>
        </w:rPr>
        <w:t xml:space="preserve">. </w:t>
      </w:r>
    </w:p>
    <w:p w14:paraId="4D28908E" w14:textId="77777777" w:rsidR="00B478A2" w:rsidRDefault="00B478A2" w:rsidP="00B478A2">
      <w:pPr>
        <w:jc w:val="both"/>
        <w:rPr>
          <w:rFonts w:asciiTheme="minorHAnsi" w:hAnsiTheme="minorHAnsi" w:cstheme="minorHAnsi"/>
          <w:szCs w:val="22"/>
          <w:lang w:eastAsia="en-US"/>
        </w:rPr>
      </w:pPr>
    </w:p>
    <w:p w14:paraId="283E6823" w14:textId="77777777" w:rsidR="00B478A2" w:rsidRPr="00FF3072" w:rsidRDefault="00B478A2" w:rsidP="00B478A2">
      <w:pPr>
        <w:jc w:val="both"/>
        <w:rPr>
          <w:rFonts w:asciiTheme="minorHAnsi" w:hAnsiTheme="minorHAnsi" w:cstheme="minorHAnsi"/>
          <w:szCs w:val="22"/>
          <w:lang w:eastAsia="en-US"/>
        </w:rPr>
      </w:pPr>
      <w:r w:rsidRPr="00FF3072">
        <w:rPr>
          <w:rFonts w:asciiTheme="minorHAnsi" w:hAnsiTheme="minorHAnsi" w:cstheme="minorHAnsi"/>
          <w:szCs w:val="22"/>
          <w:lang w:eastAsia="en-US"/>
        </w:rPr>
        <w:t xml:space="preserve">Said learning outcomes also reflect the essential requirements of legal practice and prepare </w:t>
      </w:r>
      <w:r>
        <w:rPr>
          <w:rFonts w:asciiTheme="minorHAnsi" w:hAnsiTheme="minorHAnsi" w:cstheme="minorHAnsi"/>
          <w:szCs w:val="22"/>
          <w:lang w:eastAsia="en-US"/>
        </w:rPr>
        <w:t>learner</w:t>
      </w:r>
      <w:r w:rsidRPr="00FF3072">
        <w:rPr>
          <w:rFonts w:asciiTheme="minorHAnsi" w:hAnsiTheme="minorHAnsi" w:cstheme="minorHAnsi"/>
          <w:szCs w:val="22"/>
          <w:lang w:eastAsia="en-US"/>
        </w:rPr>
        <w:t>s for further study and engagement in the professional world.</w:t>
      </w:r>
      <w:r>
        <w:rPr>
          <w:rFonts w:asciiTheme="minorHAnsi" w:hAnsiTheme="minorHAnsi" w:cstheme="minorHAnsi"/>
          <w:szCs w:val="22"/>
          <w:lang w:eastAsia="en-US"/>
        </w:rPr>
        <w:t xml:space="preserve"> </w:t>
      </w:r>
    </w:p>
    <w:p w14:paraId="7D2DC44D" w14:textId="77777777" w:rsidR="00B478A2" w:rsidRPr="00FF3072" w:rsidRDefault="00B478A2" w:rsidP="00B478A2">
      <w:pPr>
        <w:rPr>
          <w:rFonts w:asciiTheme="minorHAnsi" w:hAnsiTheme="minorHAnsi" w:cstheme="minorHAnsi"/>
          <w:szCs w:val="22"/>
          <w:lang w:eastAsia="en-US"/>
        </w:rPr>
      </w:pPr>
    </w:p>
    <w:p w14:paraId="5FD0CA03" w14:textId="77777777" w:rsidR="00B478A2" w:rsidRPr="00FF3072" w:rsidRDefault="00B478A2" w:rsidP="00B478A2">
      <w:pPr>
        <w:pStyle w:val="Heading3"/>
      </w:pPr>
      <w:r w:rsidRPr="00FF3072">
        <w:t>Minimum intended module learning outcomes</w:t>
      </w:r>
    </w:p>
    <w:p w14:paraId="67E2C1A9" w14:textId="77777777" w:rsidR="00B478A2" w:rsidRPr="00FF3072" w:rsidRDefault="00B478A2" w:rsidP="00B478A2">
      <w:pPr>
        <w:ind w:right="-17"/>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On successful completion of this module, learners are able to:</w:t>
      </w:r>
    </w:p>
    <w:p w14:paraId="012C51CE" w14:textId="77777777" w:rsidR="00B478A2" w:rsidRPr="00FF3072" w:rsidRDefault="00B478A2" w:rsidP="00B478A2">
      <w:pPr>
        <w:ind w:right="-17"/>
        <w:rPr>
          <w:rFonts w:asciiTheme="minorHAnsi" w:hAnsiTheme="minorHAnsi" w:cstheme="minorHAnsi"/>
          <w:color w:val="000000" w:themeColor="text1"/>
          <w:szCs w:val="22"/>
          <w:lang w:eastAsia="en-US"/>
        </w:rPr>
      </w:pPr>
    </w:p>
    <w:p w14:paraId="1C4B0469" w14:textId="77777777" w:rsidR="00B478A2" w:rsidRPr="00A23A6D" w:rsidRDefault="00B478A2" w:rsidP="00B478A2">
      <w:pPr>
        <w:pStyle w:val="ListParagraph"/>
        <w:numPr>
          <w:ilvl w:val="0"/>
          <w:numId w:val="7"/>
        </w:numPr>
        <w:suppressAutoHyphens w:val="0"/>
        <w:ind w:right="515"/>
        <w:rPr>
          <w:rFonts w:asciiTheme="minorHAnsi" w:hAnsiTheme="minorHAnsi" w:cstheme="minorHAnsi"/>
          <w:color w:val="000000" w:themeColor="text1"/>
          <w:szCs w:val="22"/>
          <w:lang w:eastAsia="en-US"/>
        </w:rPr>
      </w:pPr>
      <w:r w:rsidRPr="00A23A6D">
        <w:rPr>
          <w:rFonts w:asciiTheme="minorHAnsi" w:hAnsiTheme="minorHAnsi" w:cstheme="minorHAnsi"/>
          <w:color w:val="000000" w:themeColor="text1"/>
          <w:szCs w:val="22"/>
          <w:lang w:eastAsia="en-US"/>
        </w:rPr>
        <w:t xml:space="preserve">Identify and distinguish between the sources of Irish law, including: EU law; the Constitution of Ireland; legislation; case law; and secondary sources. </w:t>
      </w:r>
    </w:p>
    <w:p w14:paraId="04F4E8F2" w14:textId="77777777" w:rsidR="00B478A2" w:rsidRPr="00A23A6D" w:rsidRDefault="00B478A2" w:rsidP="00B478A2">
      <w:pPr>
        <w:pStyle w:val="ListParagraph"/>
        <w:numPr>
          <w:ilvl w:val="0"/>
          <w:numId w:val="7"/>
        </w:numPr>
        <w:suppressAutoHyphens w:val="0"/>
        <w:ind w:right="515"/>
        <w:rPr>
          <w:rFonts w:asciiTheme="minorHAnsi" w:hAnsiTheme="minorHAnsi" w:cstheme="minorHAnsi"/>
          <w:color w:val="000000" w:themeColor="text1"/>
          <w:szCs w:val="22"/>
          <w:lang w:eastAsia="en-US"/>
        </w:rPr>
      </w:pPr>
      <w:r w:rsidRPr="00A23A6D">
        <w:rPr>
          <w:rFonts w:asciiTheme="minorHAnsi" w:hAnsiTheme="minorHAnsi" w:cstheme="minorHAnsi"/>
          <w:color w:val="000000" w:themeColor="text1"/>
          <w:szCs w:val="22"/>
          <w:lang w:eastAsia="en-US"/>
        </w:rPr>
        <w:t xml:space="preserve">Define the doctrine of precedent and describe how it operates in this jurisdiction. </w:t>
      </w:r>
    </w:p>
    <w:p w14:paraId="42993EC1" w14:textId="77777777" w:rsidR="00B478A2" w:rsidRPr="00A23A6D" w:rsidRDefault="00B478A2" w:rsidP="00B478A2">
      <w:pPr>
        <w:pStyle w:val="ListParagraph"/>
        <w:numPr>
          <w:ilvl w:val="0"/>
          <w:numId w:val="7"/>
        </w:numPr>
        <w:suppressAutoHyphens w:val="0"/>
        <w:ind w:right="515"/>
        <w:rPr>
          <w:rFonts w:asciiTheme="minorHAnsi" w:hAnsiTheme="minorHAnsi" w:cstheme="minorHAnsi"/>
          <w:color w:val="000000" w:themeColor="text1"/>
          <w:szCs w:val="22"/>
          <w:lang w:eastAsia="en-US"/>
        </w:rPr>
      </w:pPr>
      <w:r w:rsidRPr="00A23A6D">
        <w:rPr>
          <w:rFonts w:asciiTheme="minorHAnsi" w:hAnsiTheme="minorHAnsi" w:cstheme="minorHAnsi"/>
          <w:color w:val="000000" w:themeColor="text1"/>
          <w:szCs w:val="22"/>
          <w:lang w:eastAsia="en-US"/>
        </w:rPr>
        <w:t xml:space="preserve">Contrast the civil, criminal and appellate jurisdictions of the different courts. </w:t>
      </w:r>
    </w:p>
    <w:p w14:paraId="0C09421A" w14:textId="77777777" w:rsidR="00B478A2" w:rsidRPr="00A23A6D" w:rsidRDefault="00B478A2" w:rsidP="00B478A2">
      <w:pPr>
        <w:pStyle w:val="ListParagraph"/>
        <w:numPr>
          <w:ilvl w:val="0"/>
          <w:numId w:val="7"/>
        </w:numPr>
        <w:suppressAutoHyphens w:val="0"/>
        <w:ind w:right="515"/>
        <w:rPr>
          <w:rFonts w:asciiTheme="minorHAnsi" w:hAnsiTheme="minorHAnsi" w:cstheme="minorHAnsi"/>
          <w:color w:val="000000" w:themeColor="text1"/>
          <w:szCs w:val="22"/>
          <w:lang w:eastAsia="en-US"/>
        </w:rPr>
      </w:pPr>
      <w:r w:rsidRPr="00A23A6D">
        <w:rPr>
          <w:rFonts w:asciiTheme="minorHAnsi" w:hAnsiTheme="minorHAnsi" w:cstheme="minorHAnsi"/>
          <w:color w:val="000000" w:themeColor="text1"/>
          <w:szCs w:val="22"/>
          <w:lang w:eastAsia="en-US"/>
        </w:rPr>
        <w:t>Evaluate the different roles of legal professionals, in particular: solicitors, barristers and legal executives.</w:t>
      </w:r>
    </w:p>
    <w:p w14:paraId="5A39A248" w14:textId="77777777" w:rsidR="00B478A2" w:rsidRPr="00A23A6D" w:rsidRDefault="00B478A2" w:rsidP="00B478A2">
      <w:pPr>
        <w:pStyle w:val="ListParagraph"/>
        <w:numPr>
          <w:ilvl w:val="0"/>
          <w:numId w:val="7"/>
        </w:numPr>
        <w:suppressAutoHyphens w:val="0"/>
        <w:ind w:right="515"/>
        <w:rPr>
          <w:rFonts w:asciiTheme="minorHAnsi" w:hAnsiTheme="minorHAnsi" w:cstheme="minorHAnsi"/>
          <w:color w:val="000000" w:themeColor="text1"/>
          <w:szCs w:val="22"/>
          <w:lang w:eastAsia="en-US"/>
        </w:rPr>
      </w:pPr>
      <w:r w:rsidRPr="00A23A6D">
        <w:rPr>
          <w:rFonts w:asciiTheme="minorHAnsi" w:hAnsiTheme="minorHAnsi" w:cstheme="minorHAnsi"/>
          <w:color w:val="000000" w:themeColor="text1"/>
          <w:szCs w:val="22"/>
          <w:lang w:eastAsia="en-US"/>
        </w:rPr>
        <w:t xml:space="preserve">Demonstrate strong legal research, problem-solving and writing skills. </w:t>
      </w:r>
    </w:p>
    <w:p w14:paraId="70137EE4" w14:textId="77777777" w:rsidR="00B478A2" w:rsidRPr="00FF3072" w:rsidRDefault="00B478A2" w:rsidP="00B478A2">
      <w:pPr>
        <w:suppressAutoHyphens w:val="0"/>
        <w:spacing w:after="160" w:line="259" w:lineRule="auto"/>
        <w:rPr>
          <w:rFonts w:asciiTheme="minorHAnsi" w:hAnsiTheme="minorHAnsi" w:cstheme="minorHAnsi"/>
          <w:szCs w:val="22"/>
        </w:rPr>
      </w:pPr>
      <w:r>
        <w:rPr>
          <w:rFonts w:asciiTheme="minorHAnsi" w:hAnsiTheme="minorHAnsi" w:cstheme="minorHAnsi"/>
          <w:szCs w:val="22"/>
        </w:rPr>
        <w:br w:type="page"/>
      </w:r>
    </w:p>
    <w:p w14:paraId="36F7EFC2" w14:textId="77777777" w:rsidR="00B478A2" w:rsidRPr="00A23A6D" w:rsidRDefault="00B478A2" w:rsidP="00B478A2">
      <w:pPr>
        <w:pStyle w:val="Heading3"/>
      </w:pPr>
      <w:r w:rsidRPr="00A23A6D">
        <w:lastRenderedPageBreak/>
        <w:t>Rationale for inclusion of the module in the programme and its contribution to the overall MIPLOs</w:t>
      </w:r>
    </w:p>
    <w:p w14:paraId="60B5B3ED" w14:textId="77777777" w:rsidR="00B478A2" w:rsidRPr="00330401" w:rsidRDefault="00B478A2" w:rsidP="00B478A2">
      <w:pPr>
        <w:jc w:val="both"/>
        <w:rPr>
          <w:rFonts w:cstheme="minorHAnsi"/>
          <w:szCs w:val="22"/>
        </w:rPr>
      </w:pPr>
      <w:r w:rsidRPr="00330401">
        <w:rPr>
          <w:rFonts w:cstheme="minorHAnsi"/>
          <w:szCs w:val="22"/>
        </w:rPr>
        <w:t>The Introduction to the Irish Legal System provides learners with an overview of key legal principles and an understanding of the Irish legal system. It is a core module that provides a critical foundation, which learners may use to scaffold their understanding of the law as they progress through the Diploma in Legal Studies and Practice (DLSP)</w:t>
      </w:r>
      <w:r>
        <w:rPr>
          <w:rFonts w:cstheme="minorHAnsi"/>
          <w:szCs w:val="22"/>
        </w:rPr>
        <w:t xml:space="preserve"> or Certificate in Legal Studies (CLS)</w:t>
      </w:r>
      <w:r w:rsidRPr="00330401">
        <w:rPr>
          <w:rFonts w:cstheme="minorHAnsi"/>
          <w:szCs w:val="22"/>
        </w:rPr>
        <w:t xml:space="preserve"> programme</w:t>
      </w:r>
      <w:r>
        <w:rPr>
          <w:rFonts w:cstheme="minorHAnsi"/>
          <w:szCs w:val="22"/>
        </w:rPr>
        <w:t>s</w:t>
      </w:r>
      <w:r w:rsidRPr="00330401">
        <w:rPr>
          <w:rFonts w:cstheme="minorHAnsi"/>
          <w:szCs w:val="22"/>
        </w:rPr>
        <w:t xml:space="preserve">. </w:t>
      </w:r>
      <w:r w:rsidRPr="00330401">
        <w:rPr>
          <w:rFonts w:cstheme="minorHAnsi"/>
          <w:szCs w:val="22"/>
          <w:lang w:eastAsia="en-US"/>
        </w:rPr>
        <w:t xml:space="preserve">In that context this module supports the achievement of </w:t>
      </w:r>
      <w:r>
        <w:rPr>
          <w:rFonts w:cstheme="minorHAnsi"/>
          <w:szCs w:val="22"/>
          <w:lang w:eastAsia="en-US"/>
        </w:rPr>
        <w:t>MIPLO I.</w:t>
      </w:r>
    </w:p>
    <w:p w14:paraId="35C46BC2" w14:textId="77777777" w:rsidR="00B478A2" w:rsidRPr="00330401" w:rsidRDefault="00B478A2" w:rsidP="00B478A2">
      <w:pPr>
        <w:jc w:val="both"/>
        <w:rPr>
          <w:rFonts w:cstheme="minorHAnsi"/>
          <w:szCs w:val="22"/>
        </w:rPr>
      </w:pPr>
    </w:p>
    <w:p w14:paraId="4B66B117" w14:textId="77777777" w:rsidR="00B478A2" w:rsidRPr="00330401" w:rsidRDefault="00B478A2" w:rsidP="00B478A2">
      <w:pPr>
        <w:jc w:val="both"/>
        <w:rPr>
          <w:rFonts w:cstheme="minorHAnsi"/>
          <w:szCs w:val="22"/>
        </w:rPr>
      </w:pPr>
      <w:r w:rsidRPr="00330401">
        <w:rPr>
          <w:rFonts w:cstheme="minorHAnsi"/>
          <w:szCs w:val="22"/>
        </w:rPr>
        <w:t>It also covers the practical, research and legal writing skills that learners require if they embark on or continue their legal careers</w:t>
      </w:r>
      <w:r>
        <w:rPr>
          <w:rFonts w:cstheme="minorHAnsi"/>
          <w:szCs w:val="22"/>
        </w:rPr>
        <w:t xml:space="preserve"> e.g. the navigation of academic databases, research platforms and use of academic methods (e.g. the use of the ILAC answering method) to tackle formal legal assessment and strengthen legal argument</w:t>
      </w:r>
      <w:r w:rsidRPr="00330401">
        <w:rPr>
          <w:rFonts w:cstheme="minorHAnsi"/>
          <w:szCs w:val="22"/>
          <w:lang w:eastAsia="en-US"/>
        </w:rPr>
        <w:t xml:space="preserve">. In that context this module supports the achievement of </w:t>
      </w:r>
      <w:r>
        <w:rPr>
          <w:rFonts w:cstheme="minorHAnsi"/>
          <w:szCs w:val="22"/>
          <w:lang w:eastAsia="en-US"/>
        </w:rPr>
        <w:t>MIPLOs II and III.</w:t>
      </w:r>
      <w:r>
        <w:rPr>
          <w:rFonts w:cstheme="minorHAnsi"/>
          <w:szCs w:val="22"/>
        </w:rPr>
        <w:t xml:space="preserve"> It provides learner</w:t>
      </w:r>
      <w:r w:rsidRPr="00330401">
        <w:rPr>
          <w:rFonts w:cstheme="minorHAnsi"/>
          <w:szCs w:val="22"/>
        </w:rPr>
        <w:t xml:space="preserve">s with the tools required to analyse sources of law. </w:t>
      </w:r>
      <w:r w:rsidRPr="00330401">
        <w:rPr>
          <w:rFonts w:cstheme="minorHAnsi"/>
          <w:szCs w:val="22"/>
          <w:lang w:eastAsia="en-US"/>
        </w:rPr>
        <w:t xml:space="preserve">In that context this module supports the achievement of </w:t>
      </w:r>
      <w:r>
        <w:rPr>
          <w:rFonts w:cstheme="minorHAnsi"/>
          <w:szCs w:val="22"/>
        </w:rPr>
        <w:t>MIPLO IV.</w:t>
      </w:r>
    </w:p>
    <w:p w14:paraId="3DA4A15D" w14:textId="77777777" w:rsidR="00B478A2" w:rsidRDefault="00B478A2" w:rsidP="00B478A2">
      <w:pPr>
        <w:jc w:val="both"/>
        <w:rPr>
          <w:rFonts w:cstheme="minorHAnsi"/>
          <w:szCs w:val="22"/>
        </w:rPr>
      </w:pPr>
    </w:p>
    <w:p w14:paraId="6FCF36BD" w14:textId="77777777" w:rsidR="00B478A2" w:rsidRDefault="00B478A2" w:rsidP="00B478A2">
      <w:pPr>
        <w:jc w:val="both"/>
        <w:rPr>
          <w:rFonts w:cstheme="minorHAnsi"/>
          <w:szCs w:val="22"/>
        </w:rPr>
      </w:pPr>
      <w:r w:rsidRPr="00330401">
        <w:rPr>
          <w:rFonts w:cstheme="minorHAnsi"/>
          <w:szCs w:val="22"/>
        </w:rPr>
        <w:t>Th</w:t>
      </w:r>
      <w:r>
        <w:rPr>
          <w:rFonts w:cstheme="minorHAnsi"/>
          <w:szCs w:val="22"/>
        </w:rPr>
        <w:t>e module also introduces learner</w:t>
      </w:r>
      <w:r w:rsidRPr="00330401">
        <w:rPr>
          <w:rFonts w:cstheme="minorHAnsi"/>
          <w:szCs w:val="22"/>
        </w:rPr>
        <w:t xml:space="preserve">s to the hierarchy of Irish courts and the civil and criminal litigation process at both trial-at-first instance and appeal level. </w:t>
      </w:r>
      <w:r w:rsidRPr="00330401">
        <w:rPr>
          <w:rFonts w:cstheme="minorHAnsi"/>
          <w:szCs w:val="22"/>
          <w:lang w:eastAsia="en-US"/>
        </w:rPr>
        <w:t xml:space="preserve">In that context this module </w:t>
      </w:r>
      <w:r>
        <w:rPr>
          <w:rFonts w:cstheme="minorHAnsi"/>
          <w:szCs w:val="22"/>
          <w:lang w:eastAsia="en-US"/>
        </w:rPr>
        <w:t xml:space="preserve">supports the achievement of MIPLO V. </w:t>
      </w:r>
      <w:r w:rsidRPr="00330401">
        <w:rPr>
          <w:rFonts w:cstheme="minorHAnsi"/>
          <w:szCs w:val="22"/>
        </w:rPr>
        <w:t>The module employs formative group work in a</w:t>
      </w:r>
      <w:r>
        <w:rPr>
          <w:rFonts w:cstheme="minorHAnsi"/>
          <w:szCs w:val="22"/>
        </w:rPr>
        <w:t>ll lectures, encouraging learner</w:t>
      </w:r>
      <w:r w:rsidRPr="00330401">
        <w:rPr>
          <w:rFonts w:cstheme="minorHAnsi"/>
          <w:szCs w:val="22"/>
        </w:rPr>
        <w:t xml:space="preserve">s to work effectively in group environments. The assessment component of a </w:t>
      </w:r>
      <w:r>
        <w:rPr>
          <w:rFonts w:cstheme="minorHAnsi"/>
          <w:szCs w:val="22"/>
        </w:rPr>
        <w:t>research record requires learner</w:t>
      </w:r>
      <w:r w:rsidRPr="00330401">
        <w:rPr>
          <w:rFonts w:cstheme="minorHAnsi"/>
          <w:szCs w:val="22"/>
        </w:rPr>
        <w:t>s to critically analyse their research skills to date and record suggested improvements or amendments based on what they did successfully. This develops, from</w:t>
      </w:r>
      <w:r>
        <w:rPr>
          <w:rFonts w:cstheme="minorHAnsi"/>
          <w:szCs w:val="22"/>
        </w:rPr>
        <w:t xml:space="preserve"> a learner’s very first m</w:t>
      </w:r>
      <w:r w:rsidRPr="00330401">
        <w:rPr>
          <w:rFonts w:cstheme="minorHAnsi"/>
          <w:szCs w:val="22"/>
        </w:rPr>
        <w:t xml:space="preserve">odule, a spirit of continuous improvement, of incremental scaffolding and self-analysis. </w:t>
      </w:r>
    </w:p>
    <w:p w14:paraId="7B73D536" w14:textId="77777777" w:rsidR="00B478A2" w:rsidRDefault="00B478A2" w:rsidP="00B478A2">
      <w:pPr>
        <w:pStyle w:val="NormalWeb"/>
        <w:spacing w:before="0" w:beforeAutospacing="0" w:after="0" w:afterAutospacing="0"/>
        <w:jc w:val="both"/>
        <w:rPr>
          <w:rFonts w:ascii="Calibri" w:hAnsi="Calibri" w:cstheme="minorHAnsi"/>
          <w:sz w:val="22"/>
          <w:szCs w:val="22"/>
        </w:rPr>
      </w:pPr>
    </w:p>
    <w:p w14:paraId="25C76FD4" w14:textId="77777777" w:rsidR="00B478A2" w:rsidRPr="00330401" w:rsidRDefault="00B478A2" w:rsidP="00B478A2">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 xml:space="preserve">By receiving feedback on all summative and formative assessments, learners are enabled to evaluate and reflect on their work, thereby facilitating improvement.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MIPLOs VI and VII.</w:t>
      </w:r>
    </w:p>
    <w:p w14:paraId="6F19F18D" w14:textId="77777777" w:rsidR="00B478A2" w:rsidRPr="00330401" w:rsidRDefault="00B478A2" w:rsidP="00B478A2">
      <w:pPr>
        <w:pStyle w:val="NormalWeb"/>
        <w:spacing w:before="0" w:beforeAutospacing="0" w:after="0" w:afterAutospacing="0"/>
        <w:rPr>
          <w:rFonts w:ascii="Calibri" w:hAnsi="Calibri" w:cstheme="minorHAnsi"/>
          <w:sz w:val="22"/>
          <w:szCs w:val="22"/>
        </w:rPr>
      </w:pPr>
    </w:p>
    <w:p w14:paraId="5154B0BF" w14:textId="77777777" w:rsidR="00B478A2" w:rsidRPr="00FF3072" w:rsidRDefault="00B478A2" w:rsidP="00B478A2">
      <w:pPr>
        <w:jc w:val="both"/>
        <w:rPr>
          <w:rFonts w:asciiTheme="minorHAnsi" w:hAnsiTheme="minorHAnsi" w:cstheme="minorHAnsi"/>
          <w:szCs w:val="22"/>
          <w:lang w:eastAsia="en-US"/>
        </w:rPr>
      </w:pPr>
      <w:r w:rsidRPr="00330401">
        <w:rPr>
          <w:rFonts w:cstheme="minorHAnsi"/>
          <w:szCs w:val="22"/>
        </w:rPr>
        <w:t xml:space="preserve">Finally, the module </w:t>
      </w:r>
      <w:r>
        <w:rPr>
          <w:rFonts w:cstheme="minorHAnsi"/>
          <w:szCs w:val="22"/>
        </w:rPr>
        <w:t>provides learner</w:t>
      </w:r>
      <w:r w:rsidRPr="00330401">
        <w:rPr>
          <w:rFonts w:cstheme="minorHAnsi"/>
          <w:szCs w:val="22"/>
        </w:rPr>
        <w:t xml:space="preserve">s with the foundational knowledge required to analyse and critique sources of law, including: the methods by which the courts interpret Constitutional rights (e.g. using the literal, historical or harmonious approach) case law and legislation; the hierarchy of sources of law (e.g. the supranational nature of the EU); and the way in which legislation, case law and Constitutional provisions are reformed. </w:t>
      </w:r>
      <w:r w:rsidRPr="00330401">
        <w:rPr>
          <w:rFonts w:cstheme="minorHAnsi"/>
          <w:szCs w:val="22"/>
          <w:lang w:eastAsia="en-US"/>
        </w:rPr>
        <w:t xml:space="preserve">In that context this module supports the achievement of the </w:t>
      </w:r>
      <w:r>
        <w:rPr>
          <w:rFonts w:cstheme="minorHAnsi"/>
          <w:szCs w:val="22"/>
          <w:lang w:eastAsia="en-US"/>
        </w:rPr>
        <w:t>MIPLO VIII.</w:t>
      </w:r>
      <w:r w:rsidRPr="00C64614">
        <w:rPr>
          <w:rFonts w:asciiTheme="minorHAnsi" w:hAnsiTheme="minorHAnsi" w:cstheme="minorHAnsi"/>
          <w:szCs w:val="22"/>
          <w:highlight w:val="yellow"/>
          <w:lang w:eastAsia="en-US"/>
        </w:rPr>
        <w:t xml:space="preserve"> </w:t>
      </w:r>
    </w:p>
    <w:p w14:paraId="390D7969" w14:textId="77777777" w:rsidR="00B478A2" w:rsidRDefault="00B478A2" w:rsidP="00B478A2">
      <w:pPr>
        <w:suppressAutoHyphens w:val="0"/>
        <w:rPr>
          <w:rFonts w:asciiTheme="minorHAnsi" w:hAnsiTheme="minorHAnsi" w:cstheme="minorHAnsi"/>
          <w:szCs w:val="22"/>
        </w:rPr>
      </w:pPr>
    </w:p>
    <w:p w14:paraId="54F78BCF" w14:textId="77777777" w:rsidR="00B478A2" w:rsidRPr="00A23A6D" w:rsidRDefault="00B478A2" w:rsidP="00B478A2">
      <w:pPr>
        <w:pStyle w:val="Heading3"/>
      </w:pPr>
      <w:r w:rsidRPr="00A23A6D">
        <w:t>Information provided to learners about the module</w:t>
      </w:r>
    </w:p>
    <w:p w14:paraId="37BB55CC" w14:textId="77777777" w:rsidR="00B478A2" w:rsidRPr="00FF3072" w:rsidRDefault="00B478A2" w:rsidP="00B478A2">
      <w:pPr>
        <w:ind w:right="-17"/>
        <w:jc w:val="both"/>
        <w:rPr>
          <w:rFonts w:asciiTheme="minorHAnsi" w:hAnsiTheme="minorHAnsi" w:cstheme="minorHAnsi"/>
          <w:szCs w:val="22"/>
        </w:rPr>
      </w:pPr>
      <w:r w:rsidRPr="00FF3072">
        <w:rPr>
          <w:rFonts w:asciiTheme="minorHAnsi" w:hAnsiTheme="minorHAnsi" w:cstheme="minorHAnsi"/>
          <w:color w:val="000000" w:themeColor="text1"/>
          <w:szCs w:val="22"/>
        </w:rPr>
        <w:t xml:space="preserve">Learners enrolled on this module initially receive a copy of the module descriptor, module learning outcomes, lecture plan, assessment briefs, assessment strategy and recommended reading list. </w:t>
      </w:r>
      <w:r w:rsidRPr="00FF3072">
        <w:rPr>
          <w:rFonts w:asciiTheme="minorHAnsi" w:hAnsiTheme="minorHAnsi" w:cstheme="minorHAnsi"/>
          <w:szCs w:val="22"/>
        </w:rPr>
        <w:t>These materials are given directly by the lecturer and also by the Programme Director as part of the Learner Handbook for award stage modules of the programme. All content is provided on Moodle as well as access to additional content through the library and online resources.</w:t>
      </w:r>
    </w:p>
    <w:p w14:paraId="28D74588" w14:textId="77777777" w:rsidR="00B478A2" w:rsidRPr="00FF3072" w:rsidRDefault="00B478A2" w:rsidP="00B478A2">
      <w:pPr>
        <w:ind w:right="-17"/>
        <w:jc w:val="both"/>
        <w:rPr>
          <w:rFonts w:asciiTheme="minorHAnsi" w:hAnsiTheme="minorHAnsi" w:cstheme="minorHAnsi"/>
          <w:color w:val="000000" w:themeColor="text1"/>
          <w:szCs w:val="22"/>
        </w:rPr>
      </w:pPr>
    </w:p>
    <w:p w14:paraId="659344C0" w14:textId="77777777" w:rsidR="00B478A2" w:rsidRPr="00FF3072" w:rsidRDefault="00B478A2" w:rsidP="00B478A2">
      <w:pPr>
        <w:ind w:right="-17"/>
        <w:jc w:val="both"/>
        <w:rPr>
          <w:rFonts w:asciiTheme="minorHAnsi" w:eastAsia="Calibri" w:hAnsiTheme="minorHAnsi" w:cstheme="minorHAnsi"/>
          <w:szCs w:val="22"/>
        </w:rPr>
      </w:pPr>
      <w:r w:rsidRPr="00FF3072">
        <w:rPr>
          <w:rFonts w:asciiTheme="minorHAnsi" w:eastAsia="Calibri" w:hAnsiTheme="minorHAnsi" w:cstheme="minorHAnsi"/>
          <w:szCs w:val="22"/>
        </w:rPr>
        <w:t>Online (via Moodle) learners are provided with video recording of each lecture, copy of PowerPoint slides, a module specific manual, extensive reading list, incorporating professional and academic and non-academic sources. Guest lectures will be introduced to ensure practical knowledge and real-life examples will keep the content relevant.</w:t>
      </w:r>
    </w:p>
    <w:p w14:paraId="5DC16B7D" w14:textId="77777777" w:rsidR="00B478A2" w:rsidRDefault="00B478A2" w:rsidP="00B478A2">
      <w:pPr>
        <w:suppressAutoHyphens w:val="0"/>
        <w:spacing w:after="160" w:line="259" w:lineRule="auto"/>
        <w:rPr>
          <w:rFonts w:asciiTheme="minorHAnsi" w:hAnsiTheme="minorHAnsi" w:cstheme="minorHAnsi"/>
          <w:color w:val="808080" w:themeColor="background1" w:themeShade="80"/>
          <w:szCs w:val="22"/>
        </w:rPr>
      </w:pPr>
      <w:r>
        <w:rPr>
          <w:rFonts w:asciiTheme="minorHAnsi" w:hAnsiTheme="minorHAnsi" w:cstheme="minorHAnsi"/>
          <w:color w:val="808080" w:themeColor="background1" w:themeShade="80"/>
          <w:szCs w:val="22"/>
        </w:rPr>
        <w:br w:type="page"/>
      </w:r>
    </w:p>
    <w:p w14:paraId="60459045" w14:textId="77777777" w:rsidR="00B478A2" w:rsidRPr="00A23A6D" w:rsidRDefault="00B478A2" w:rsidP="00B478A2">
      <w:pPr>
        <w:pStyle w:val="Heading3"/>
      </w:pPr>
      <w:r w:rsidRPr="00A23A6D">
        <w:lastRenderedPageBreak/>
        <w:t>Module content, organisation and structure</w:t>
      </w:r>
    </w:p>
    <w:p w14:paraId="67BC9C8D" w14:textId="77777777" w:rsidR="00B478A2" w:rsidRDefault="00B478A2" w:rsidP="00B478A2">
      <w:pPr>
        <w:jc w:val="both"/>
        <w:rPr>
          <w:rFonts w:asciiTheme="minorHAnsi" w:hAnsiTheme="minorHAnsi" w:cstheme="minorHAnsi"/>
          <w:szCs w:val="22"/>
          <w:lang w:eastAsia="en-US"/>
        </w:rPr>
      </w:pPr>
      <w:r w:rsidRPr="00FF3072">
        <w:rPr>
          <w:rFonts w:asciiTheme="minorHAnsi" w:hAnsiTheme="minorHAnsi" w:cstheme="minorHAnsi"/>
          <w:szCs w:val="22"/>
          <w:lang w:eastAsia="en-US"/>
        </w:rPr>
        <w:t>The Introduction to the Irish Legal System is a 5 ECTS credit module taught over an 8 week Block. This Block includes 5 lectures (of 4 hour duration); one revision class;</w:t>
      </w:r>
      <w:r>
        <w:rPr>
          <w:rFonts w:asciiTheme="minorHAnsi" w:hAnsiTheme="minorHAnsi" w:cstheme="minorHAnsi"/>
          <w:szCs w:val="22"/>
          <w:lang w:eastAsia="en-US"/>
        </w:rPr>
        <w:t xml:space="preserve"> </w:t>
      </w:r>
      <w:r w:rsidRPr="00FF3072">
        <w:rPr>
          <w:rFonts w:asciiTheme="minorHAnsi" w:hAnsiTheme="minorHAnsi" w:cstheme="minorHAnsi"/>
          <w:szCs w:val="22"/>
          <w:lang w:eastAsia="en-US"/>
        </w:rPr>
        <w:t>two re</w:t>
      </w:r>
      <w:r>
        <w:rPr>
          <w:rFonts w:asciiTheme="minorHAnsi" w:hAnsiTheme="minorHAnsi" w:cstheme="minorHAnsi"/>
          <w:szCs w:val="22"/>
          <w:lang w:eastAsia="en-US"/>
        </w:rPr>
        <w:t xml:space="preserve">ading weeks; and an exam week. </w:t>
      </w:r>
      <w:r w:rsidRPr="00FF3072">
        <w:rPr>
          <w:rFonts w:asciiTheme="minorHAnsi" w:hAnsiTheme="minorHAnsi" w:cstheme="minorHAnsi"/>
          <w:szCs w:val="22"/>
          <w:lang w:eastAsia="en-US"/>
        </w:rPr>
        <w:t>Specifically, the topics covered are as follows:</w:t>
      </w:r>
    </w:p>
    <w:p w14:paraId="49CEC63B" w14:textId="77777777" w:rsidR="00B478A2" w:rsidRPr="00FF3072" w:rsidRDefault="00B478A2" w:rsidP="00B478A2">
      <w:pPr>
        <w:rPr>
          <w:rFonts w:asciiTheme="minorHAnsi" w:hAnsiTheme="minorHAnsi" w:cstheme="minorHAnsi"/>
          <w:szCs w:val="22"/>
          <w:lang w:eastAsia="en-US"/>
        </w:rPr>
      </w:pPr>
    </w:p>
    <w:tbl>
      <w:tblPr>
        <w:tblW w:w="5000" w:type="pct"/>
        <w:tblLook w:val="01E0" w:firstRow="1" w:lastRow="1" w:firstColumn="1" w:lastColumn="1" w:noHBand="0" w:noVBand="0"/>
      </w:tblPr>
      <w:tblGrid>
        <w:gridCol w:w="3045"/>
        <w:gridCol w:w="5965"/>
      </w:tblGrid>
      <w:tr w:rsidR="00B478A2" w:rsidRPr="00FF3072" w14:paraId="07ED5344" w14:textId="77777777" w:rsidTr="00B54421">
        <w:tc>
          <w:tcPr>
            <w:tcW w:w="169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97ACB0" w14:textId="77777777" w:rsidR="00B478A2" w:rsidRPr="00FF3072" w:rsidRDefault="00B478A2" w:rsidP="00B54421">
            <w:pPr>
              <w:pStyle w:val="BodyText"/>
              <w:ind w:right="180"/>
              <w:rPr>
                <w:rFonts w:asciiTheme="minorHAnsi" w:hAnsiTheme="minorHAnsi" w:cstheme="minorHAnsi"/>
                <w:b/>
                <w:szCs w:val="22"/>
              </w:rPr>
            </w:pPr>
            <w:r w:rsidRPr="00FF3072">
              <w:rPr>
                <w:rFonts w:asciiTheme="minorHAnsi" w:hAnsiTheme="minorHAnsi" w:cstheme="minorHAnsi"/>
                <w:b/>
                <w:szCs w:val="22"/>
              </w:rPr>
              <w:t>TOPIC</w:t>
            </w:r>
          </w:p>
        </w:tc>
        <w:tc>
          <w:tcPr>
            <w:tcW w:w="331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C89AF5" w14:textId="77777777" w:rsidR="00B478A2" w:rsidRPr="00FF3072" w:rsidRDefault="00B478A2" w:rsidP="00B54421">
            <w:pPr>
              <w:pStyle w:val="BodyText"/>
              <w:ind w:right="180"/>
              <w:jc w:val="center"/>
              <w:rPr>
                <w:rFonts w:asciiTheme="minorHAnsi" w:hAnsiTheme="minorHAnsi" w:cstheme="minorHAnsi"/>
                <w:b/>
                <w:szCs w:val="22"/>
              </w:rPr>
            </w:pPr>
            <w:r w:rsidRPr="00FF3072">
              <w:rPr>
                <w:rFonts w:asciiTheme="minorHAnsi" w:hAnsiTheme="minorHAnsi" w:cstheme="minorHAnsi"/>
                <w:b/>
                <w:szCs w:val="22"/>
              </w:rPr>
              <w:t>DESCRIPTION</w:t>
            </w:r>
          </w:p>
        </w:tc>
      </w:tr>
      <w:tr w:rsidR="00B478A2" w:rsidRPr="00FF3072" w14:paraId="1CB68863" w14:textId="77777777" w:rsidTr="00B54421">
        <w:tc>
          <w:tcPr>
            <w:tcW w:w="1690" w:type="pct"/>
            <w:tcBorders>
              <w:top w:val="single" w:sz="4" w:space="0" w:color="auto"/>
              <w:left w:val="single" w:sz="4" w:space="0" w:color="auto"/>
              <w:bottom w:val="single" w:sz="4" w:space="0" w:color="auto"/>
              <w:right w:val="single" w:sz="4" w:space="0" w:color="auto"/>
            </w:tcBorders>
            <w:vAlign w:val="center"/>
          </w:tcPr>
          <w:p w14:paraId="36A01C44" w14:textId="77777777" w:rsidR="00B478A2" w:rsidRPr="0012104C" w:rsidRDefault="00B478A2" w:rsidP="00B54421">
            <w:pPr>
              <w:pStyle w:val="BodyText"/>
              <w:ind w:right="180"/>
              <w:rPr>
                <w:rFonts w:asciiTheme="minorHAnsi" w:hAnsiTheme="minorHAnsi" w:cstheme="minorHAnsi"/>
                <w:b/>
                <w:szCs w:val="22"/>
              </w:rPr>
            </w:pPr>
            <w:r w:rsidRPr="00FF3072">
              <w:rPr>
                <w:rFonts w:asciiTheme="minorHAnsi" w:hAnsiTheme="minorHAnsi" w:cstheme="minorHAnsi"/>
                <w:b/>
                <w:szCs w:val="22"/>
              </w:rPr>
              <w:t>Introduction and</w:t>
            </w:r>
            <w:r>
              <w:rPr>
                <w:rFonts w:asciiTheme="minorHAnsi" w:hAnsiTheme="minorHAnsi" w:cstheme="minorHAnsi"/>
                <w:b/>
                <w:szCs w:val="22"/>
              </w:rPr>
              <w:t xml:space="preserve"> Sources of Law </w:t>
            </w:r>
            <w:r>
              <w:rPr>
                <w:rFonts w:asciiTheme="minorHAnsi" w:hAnsiTheme="minorHAnsi" w:cstheme="minorHAnsi"/>
                <w:szCs w:val="22"/>
              </w:rPr>
              <w:t xml:space="preserve">(4 </w:t>
            </w:r>
            <w:r w:rsidRPr="00FF3072">
              <w:rPr>
                <w:rFonts w:asciiTheme="minorHAnsi" w:hAnsiTheme="minorHAnsi" w:cstheme="minorHAnsi"/>
                <w:szCs w:val="22"/>
              </w:rPr>
              <w:t>hours, 19%</w:t>
            </w:r>
            <w:r>
              <w:rPr>
                <w:rFonts w:asciiTheme="minorHAnsi" w:hAnsiTheme="minorHAnsi" w:cstheme="minorHAnsi"/>
                <w:szCs w:val="22"/>
              </w:rPr>
              <w:t>)</w:t>
            </w:r>
          </w:p>
          <w:p w14:paraId="37692EE4" w14:textId="77777777" w:rsidR="00B478A2" w:rsidRPr="00FF3072" w:rsidRDefault="00B478A2" w:rsidP="00B54421">
            <w:pPr>
              <w:pStyle w:val="BodyText"/>
              <w:ind w:left="432" w:right="180"/>
              <w:rPr>
                <w:rFonts w:asciiTheme="minorHAnsi" w:hAnsiTheme="minorHAnsi" w:cstheme="minorHAnsi"/>
                <w:b/>
                <w:szCs w:val="22"/>
              </w:rPr>
            </w:pPr>
          </w:p>
        </w:tc>
        <w:tc>
          <w:tcPr>
            <w:tcW w:w="3310" w:type="pct"/>
            <w:tcBorders>
              <w:top w:val="single" w:sz="4" w:space="0" w:color="auto"/>
              <w:left w:val="single" w:sz="4" w:space="0" w:color="auto"/>
              <w:bottom w:val="single" w:sz="4" w:space="0" w:color="auto"/>
              <w:right w:val="single" w:sz="4" w:space="0" w:color="auto"/>
            </w:tcBorders>
            <w:vAlign w:val="center"/>
          </w:tcPr>
          <w:p w14:paraId="5938B559" w14:textId="77777777" w:rsidR="00B478A2" w:rsidRPr="00FF3072" w:rsidRDefault="00B478A2" w:rsidP="00B54421">
            <w:pPr>
              <w:pStyle w:val="BodyText"/>
              <w:ind w:right="180"/>
              <w:rPr>
                <w:rFonts w:asciiTheme="minorHAnsi" w:hAnsiTheme="minorHAnsi" w:cstheme="minorHAnsi"/>
                <w:szCs w:val="22"/>
              </w:rPr>
            </w:pPr>
            <w:r w:rsidRPr="00FF3072">
              <w:rPr>
                <w:rFonts w:asciiTheme="minorHAnsi" w:hAnsiTheme="minorHAnsi" w:cstheme="minorHAnsi"/>
                <w:szCs w:val="22"/>
              </w:rPr>
              <w:t>This lecture examines:</w:t>
            </w:r>
          </w:p>
          <w:p w14:paraId="6F91ECF9" w14:textId="77777777" w:rsidR="00B478A2" w:rsidRPr="00FF3072" w:rsidRDefault="00B478A2" w:rsidP="00B478A2">
            <w:pPr>
              <w:pStyle w:val="BodyText"/>
              <w:numPr>
                <w:ilvl w:val="0"/>
                <w:numId w:val="2"/>
              </w:numPr>
              <w:ind w:right="180"/>
              <w:rPr>
                <w:rFonts w:asciiTheme="minorHAnsi" w:hAnsiTheme="minorHAnsi" w:cstheme="minorHAnsi"/>
                <w:szCs w:val="22"/>
              </w:rPr>
            </w:pPr>
            <w:r w:rsidRPr="00FF3072">
              <w:rPr>
                <w:rFonts w:asciiTheme="minorHAnsi" w:hAnsiTheme="minorHAnsi" w:cstheme="minorHAnsi"/>
                <w:szCs w:val="22"/>
              </w:rPr>
              <w:t xml:space="preserve">The concept and purpose of ‘law’; </w:t>
            </w:r>
          </w:p>
          <w:p w14:paraId="4C3CFDE6" w14:textId="77777777" w:rsidR="00B478A2" w:rsidRPr="00FF3072" w:rsidRDefault="00B478A2" w:rsidP="00B478A2">
            <w:pPr>
              <w:pStyle w:val="BodyText"/>
              <w:numPr>
                <w:ilvl w:val="0"/>
                <w:numId w:val="2"/>
              </w:numPr>
              <w:ind w:right="180"/>
              <w:rPr>
                <w:rFonts w:asciiTheme="minorHAnsi" w:hAnsiTheme="minorHAnsi" w:cstheme="minorHAnsi"/>
                <w:szCs w:val="22"/>
              </w:rPr>
            </w:pPr>
            <w:r w:rsidRPr="00FF3072">
              <w:rPr>
                <w:rFonts w:asciiTheme="minorHAnsi" w:hAnsiTheme="minorHAnsi" w:cstheme="minorHAnsi"/>
                <w:szCs w:val="22"/>
              </w:rPr>
              <w:t>The nature and classification of law;</w:t>
            </w:r>
          </w:p>
          <w:p w14:paraId="5AE53AB1" w14:textId="77777777" w:rsidR="00B478A2" w:rsidRPr="00FF3072" w:rsidRDefault="00B478A2" w:rsidP="00B478A2">
            <w:pPr>
              <w:pStyle w:val="BodyText"/>
              <w:numPr>
                <w:ilvl w:val="0"/>
                <w:numId w:val="2"/>
              </w:numPr>
              <w:ind w:right="180"/>
              <w:rPr>
                <w:rFonts w:asciiTheme="minorHAnsi" w:hAnsiTheme="minorHAnsi" w:cstheme="minorHAnsi"/>
                <w:szCs w:val="22"/>
              </w:rPr>
            </w:pPr>
            <w:r w:rsidRPr="00FF3072">
              <w:rPr>
                <w:rFonts w:asciiTheme="minorHAnsi" w:hAnsiTheme="minorHAnsi" w:cstheme="minorHAnsi"/>
                <w:szCs w:val="22"/>
              </w:rPr>
              <w:t xml:space="preserve">The differences between common law and civil law systems; </w:t>
            </w:r>
          </w:p>
          <w:p w14:paraId="270985D9" w14:textId="77777777" w:rsidR="00B478A2" w:rsidRPr="00FF3072" w:rsidRDefault="00B478A2" w:rsidP="00B478A2">
            <w:pPr>
              <w:pStyle w:val="BodyText"/>
              <w:numPr>
                <w:ilvl w:val="0"/>
                <w:numId w:val="2"/>
              </w:numPr>
              <w:ind w:right="180"/>
              <w:rPr>
                <w:rFonts w:asciiTheme="minorHAnsi" w:hAnsiTheme="minorHAnsi" w:cstheme="minorHAnsi"/>
                <w:szCs w:val="22"/>
              </w:rPr>
            </w:pPr>
            <w:r w:rsidRPr="00FF3072">
              <w:rPr>
                <w:rFonts w:asciiTheme="minorHAnsi" w:hAnsiTheme="minorHAnsi" w:cstheme="minorHAnsi"/>
                <w:szCs w:val="22"/>
              </w:rPr>
              <w:t xml:space="preserve">The historical development of the Irish legal system; </w:t>
            </w:r>
          </w:p>
          <w:p w14:paraId="33609EBD" w14:textId="77777777" w:rsidR="00B478A2" w:rsidRPr="00FF3072" w:rsidRDefault="00B478A2" w:rsidP="00B478A2">
            <w:pPr>
              <w:pStyle w:val="BodyText"/>
              <w:numPr>
                <w:ilvl w:val="0"/>
                <w:numId w:val="2"/>
              </w:numPr>
              <w:ind w:right="180"/>
              <w:rPr>
                <w:rFonts w:asciiTheme="minorHAnsi" w:hAnsiTheme="minorHAnsi" w:cstheme="minorHAnsi"/>
                <w:szCs w:val="22"/>
              </w:rPr>
            </w:pPr>
            <w:r w:rsidRPr="00FF3072">
              <w:rPr>
                <w:rFonts w:asciiTheme="minorHAnsi" w:hAnsiTheme="minorHAnsi" w:cstheme="minorHAnsi"/>
                <w:szCs w:val="22"/>
              </w:rPr>
              <w:t>The different sources of law (to include EU law, the Constitution, legislation, case law and secondary sources).</w:t>
            </w:r>
          </w:p>
        </w:tc>
      </w:tr>
      <w:tr w:rsidR="00B478A2" w:rsidRPr="00FF3072" w14:paraId="17895CE8" w14:textId="77777777" w:rsidTr="00B54421">
        <w:tc>
          <w:tcPr>
            <w:tcW w:w="1690" w:type="pct"/>
            <w:tcBorders>
              <w:top w:val="single" w:sz="4" w:space="0" w:color="auto"/>
              <w:left w:val="single" w:sz="4" w:space="0" w:color="auto"/>
              <w:bottom w:val="single" w:sz="4" w:space="0" w:color="auto"/>
              <w:right w:val="single" w:sz="4" w:space="0" w:color="auto"/>
            </w:tcBorders>
            <w:vAlign w:val="center"/>
          </w:tcPr>
          <w:p w14:paraId="219AFBA2" w14:textId="77777777" w:rsidR="00B478A2" w:rsidRPr="00FF3072" w:rsidRDefault="00B478A2" w:rsidP="00B54421">
            <w:pPr>
              <w:pStyle w:val="BodyText"/>
              <w:ind w:right="180"/>
              <w:rPr>
                <w:rFonts w:asciiTheme="minorHAnsi" w:hAnsiTheme="minorHAnsi" w:cstheme="minorHAnsi"/>
                <w:b/>
                <w:szCs w:val="22"/>
              </w:rPr>
            </w:pPr>
            <w:r w:rsidRPr="00FF3072">
              <w:rPr>
                <w:rFonts w:asciiTheme="minorHAnsi" w:hAnsiTheme="minorHAnsi" w:cstheme="minorHAnsi"/>
                <w:b/>
                <w:szCs w:val="22"/>
              </w:rPr>
              <w:t xml:space="preserve">The Doctrine of Precedent </w:t>
            </w:r>
          </w:p>
          <w:p w14:paraId="51B43C22" w14:textId="77777777" w:rsidR="00B478A2" w:rsidRPr="00FF3072" w:rsidRDefault="00B478A2" w:rsidP="00B54421">
            <w:pPr>
              <w:pStyle w:val="BodyText"/>
              <w:ind w:right="180"/>
              <w:rPr>
                <w:rFonts w:asciiTheme="minorHAnsi" w:hAnsiTheme="minorHAnsi" w:cstheme="minorHAnsi"/>
                <w:szCs w:val="22"/>
              </w:rPr>
            </w:pPr>
            <w:r>
              <w:rPr>
                <w:rFonts w:asciiTheme="minorHAnsi" w:hAnsiTheme="minorHAnsi" w:cstheme="minorHAnsi"/>
                <w:szCs w:val="22"/>
              </w:rPr>
              <w:t>(</w:t>
            </w:r>
            <w:r w:rsidRPr="00FF3072">
              <w:rPr>
                <w:rFonts w:asciiTheme="minorHAnsi" w:hAnsiTheme="minorHAnsi" w:cstheme="minorHAnsi"/>
                <w:szCs w:val="22"/>
              </w:rPr>
              <w:t>4 hours, 19%</w:t>
            </w:r>
            <w:r>
              <w:rPr>
                <w:rFonts w:asciiTheme="minorHAnsi" w:hAnsiTheme="minorHAnsi" w:cstheme="minorHAnsi"/>
                <w:szCs w:val="22"/>
              </w:rPr>
              <w:t>)</w:t>
            </w:r>
          </w:p>
        </w:tc>
        <w:tc>
          <w:tcPr>
            <w:tcW w:w="3310" w:type="pct"/>
            <w:tcBorders>
              <w:top w:val="single" w:sz="4" w:space="0" w:color="auto"/>
              <w:left w:val="single" w:sz="4" w:space="0" w:color="auto"/>
              <w:bottom w:val="single" w:sz="4" w:space="0" w:color="auto"/>
              <w:right w:val="single" w:sz="4" w:space="0" w:color="auto"/>
            </w:tcBorders>
            <w:vAlign w:val="center"/>
          </w:tcPr>
          <w:p w14:paraId="0A73CCBB" w14:textId="77777777" w:rsidR="00B478A2" w:rsidRPr="00FF3072" w:rsidRDefault="00B478A2" w:rsidP="00B54421">
            <w:pPr>
              <w:pStyle w:val="BodyText"/>
              <w:ind w:right="180"/>
              <w:rPr>
                <w:rFonts w:asciiTheme="minorHAnsi" w:hAnsiTheme="minorHAnsi" w:cstheme="minorHAnsi"/>
                <w:szCs w:val="22"/>
              </w:rPr>
            </w:pPr>
            <w:r w:rsidRPr="00FF3072">
              <w:rPr>
                <w:rFonts w:asciiTheme="minorHAnsi" w:hAnsiTheme="minorHAnsi" w:cstheme="minorHAnsi"/>
                <w:szCs w:val="22"/>
              </w:rPr>
              <w:t>`This lecture examines:</w:t>
            </w:r>
          </w:p>
          <w:p w14:paraId="1781D663" w14:textId="77777777" w:rsidR="00B478A2" w:rsidRPr="00FF3072" w:rsidRDefault="00B478A2" w:rsidP="00B478A2">
            <w:pPr>
              <w:pStyle w:val="BodyText"/>
              <w:numPr>
                <w:ilvl w:val="0"/>
                <w:numId w:val="5"/>
              </w:numPr>
              <w:ind w:right="180"/>
              <w:rPr>
                <w:rFonts w:asciiTheme="minorHAnsi" w:hAnsiTheme="minorHAnsi" w:cstheme="minorHAnsi"/>
                <w:szCs w:val="22"/>
              </w:rPr>
            </w:pPr>
            <w:r w:rsidRPr="00FF3072">
              <w:rPr>
                <w:rFonts w:asciiTheme="minorHAnsi" w:hAnsiTheme="minorHAnsi" w:cstheme="minorHAnsi"/>
                <w:szCs w:val="22"/>
              </w:rPr>
              <w:t>Basic concepts of precedent;</w:t>
            </w:r>
          </w:p>
          <w:p w14:paraId="6B0A4D22" w14:textId="77777777" w:rsidR="00B478A2" w:rsidRPr="00FF3072" w:rsidRDefault="00B478A2" w:rsidP="00B478A2">
            <w:pPr>
              <w:pStyle w:val="BodyText"/>
              <w:numPr>
                <w:ilvl w:val="0"/>
                <w:numId w:val="5"/>
              </w:numPr>
              <w:ind w:right="180"/>
              <w:rPr>
                <w:rFonts w:asciiTheme="minorHAnsi" w:hAnsiTheme="minorHAnsi" w:cstheme="minorHAnsi"/>
                <w:szCs w:val="22"/>
              </w:rPr>
            </w:pPr>
            <w:r w:rsidRPr="00FF3072">
              <w:rPr>
                <w:rFonts w:asciiTheme="minorHAnsi" w:hAnsiTheme="minorHAnsi" w:cstheme="minorHAnsi"/>
                <w:szCs w:val="22"/>
              </w:rPr>
              <w:t>Aims of precedent;</w:t>
            </w:r>
          </w:p>
          <w:p w14:paraId="053E01E6" w14:textId="77777777" w:rsidR="00B478A2" w:rsidRPr="00FF3072" w:rsidRDefault="00B478A2" w:rsidP="00B478A2">
            <w:pPr>
              <w:pStyle w:val="BodyText"/>
              <w:numPr>
                <w:ilvl w:val="0"/>
                <w:numId w:val="5"/>
              </w:numPr>
              <w:ind w:right="180"/>
              <w:rPr>
                <w:rFonts w:asciiTheme="minorHAnsi" w:hAnsiTheme="minorHAnsi" w:cstheme="minorHAnsi"/>
                <w:szCs w:val="22"/>
              </w:rPr>
            </w:pPr>
            <w:r w:rsidRPr="00FF3072">
              <w:rPr>
                <w:rFonts w:asciiTheme="minorHAnsi" w:hAnsiTheme="minorHAnsi" w:cstheme="minorHAnsi"/>
                <w:szCs w:val="22"/>
              </w:rPr>
              <w:t>Distinction between binding and persuasive precedent;</w:t>
            </w:r>
          </w:p>
          <w:p w14:paraId="36DB8170" w14:textId="77777777" w:rsidR="00B478A2" w:rsidRPr="00FF3072" w:rsidRDefault="00B478A2" w:rsidP="00B478A2">
            <w:pPr>
              <w:pStyle w:val="BodyText"/>
              <w:numPr>
                <w:ilvl w:val="0"/>
                <w:numId w:val="5"/>
              </w:numPr>
              <w:ind w:right="180"/>
              <w:rPr>
                <w:rFonts w:asciiTheme="minorHAnsi" w:hAnsiTheme="minorHAnsi" w:cstheme="minorHAnsi"/>
                <w:szCs w:val="22"/>
              </w:rPr>
            </w:pPr>
            <w:r w:rsidRPr="00FF3072">
              <w:rPr>
                <w:rFonts w:asciiTheme="minorHAnsi" w:hAnsiTheme="minorHAnsi" w:cstheme="minorHAnsi"/>
                <w:szCs w:val="22"/>
              </w:rPr>
              <w:t>Distinguishing cases;</w:t>
            </w:r>
          </w:p>
          <w:p w14:paraId="1E0177F6" w14:textId="77777777" w:rsidR="00B478A2" w:rsidRPr="00FF3072" w:rsidRDefault="00B478A2" w:rsidP="00B478A2">
            <w:pPr>
              <w:pStyle w:val="BodyText"/>
              <w:numPr>
                <w:ilvl w:val="0"/>
                <w:numId w:val="5"/>
              </w:numPr>
              <w:ind w:right="180"/>
              <w:rPr>
                <w:rFonts w:asciiTheme="minorHAnsi" w:hAnsiTheme="minorHAnsi" w:cstheme="minorHAnsi"/>
                <w:szCs w:val="22"/>
              </w:rPr>
            </w:pPr>
            <w:r w:rsidRPr="00FF3072">
              <w:rPr>
                <w:rFonts w:asciiTheme="minorHAnsi" w:hAnsiTheme="minorHAnsi" w:cstheme="minorHAnsi"/>
                <w:szCs w:val="22"/>
              </w:rPr>
              <w:t>Vertical vs. Horizontal precedent;</w:t>
            </w:r>
          </w:p>
          <w:p w14:paraId="3963DCC7" w14:textId="77777777" w:rsidR="00B478A2" w:rsidRPr="00FF3072" w:rsidRDefault="00B478A2" w:rsidP="00B478A2">
            <w:pPr>
              <w:pStyle w:val="BodyText"/>
              <w:numPr>
                <w:ilvl w:val="0"/>
                <w:numId w:val="5"/>
              </w:numPr>
              <w:ind w:right="180"/>
              <w:rPr>
                <w:rFonts w:asciiTheme="minorHAnsi" w:hAnsiTheme="minorHAnsi" w:cstheme="minorHAnsi"/>
                <w:szCs w:val="22"/>
              </w:rPr>
            </w:pPr>
            <w:r w:rsidRPr="00FF3072">
              <w:rPr>
                <w:rFonts w:asciiTheme="minorHAnsi" w:hAnsiTheme="minorHAnsi" w:cstheme="minorHAnsi"/>
                <w:szCs w:val="22"/>
              </w:rPr>
              <w:t>Persuasive authority;</w:t>
            </w:r>
          </w:p>
          <w:p w14:paraId="471991EA" w14:textId="77777777" w:rsidR="00B478A2" w:rsidRPr="00FF3072" w:rsidRDefault="00B478A2" w:rsidP="00B478A2">
            <w:pPr>
              <w:pStyle w:val="BodyText"/>
              <w:numPr>
                <w:ilvl w:val="0"/>
                <w:numId w:val="5"/>
              </w:numPr>
              <w:ind w:right="180"/>
              <w:rPr>
                <w:rFonts w:asciiTheme="minorHAnsi" w:hAnsiTheme="minorHAnsi" w:cstheme="minorHAnsi"/>
                <w:szCs w:val="22"/>
              </w:rPr>
            </w:pPr>
            <w:r w:rsidRPr="00FF3072">
              <w:rPr>
                <w:rFonts w:asciiTheme="minorHAnsi" w:hAnsiTheme="minorHAnsi" w:cstheme="minorHAnsi"/>
                <w:szCs w:val="22"/>
              </w:rPr>
              <w:t>Analysing judgments;</w:t>
            </w:r>
          </w:p>
          <w:p w14:paraId="3AFF8CC2" w14:textId="77777777" w:rsidR="00B478A2" w:rsidRPr="00FF3072" w:rsidRDefault="00B478A2" w:rsidP="00B478A2">
            <w:pPr>
              <w:pStyle w:val="BodyText"/>
              <w:numPr>
                <w:ilvl w:val="0"/>
                <w:numId w:val="5"/>
              </w:numPr>
              <w:ind w:right="180"/>
              <w:rPr>
                <w:rFonts w:asciiTheme="minorHAnsi" w:hAnsiTheme="minorHAnsi" w:cstheme="minorHAnsi"/>
                <w:szCs w:val="22"/>
              </w:rPr>
            </w:pPr>
            <w:r w:rsidRPr="00FF3072">
              <w:rPr>
                <w:rFonts w:asciiTheme="minorHAnsi" w:hAnsiTheme="minorHAnsi" w:cstheme="minorHAnsi"/>
                <w:szCs w:val="22"/>
              </w:rPr>
              <w:t>Ratio Decidendi;</w:t>
            </w:r>
          </w:p>
          <w:p w14:paraId="78C7C4A4" w14:textId="77777777" w:rsidR="00B478A2" w:rsidRPr="00FF3072" w:rsidRDefault="00B478A2" w:rsidP="00B478A2">
            <w:pPr>
              <w:pStyle w:val="BodyText"/>
              <w:numPr>
                <w:ilvl w:val="0"/>
                <w:numId w:val="5"/>
              </w:numPr>
              <w:ind w:right="180"/>
              <w:rPr>
                <w:rFonts w:asciiTheme="minorHAnsi" w:hAnsiTheme="minorHAnsi" w:cstheme="minorHAnsi"/>
                <w:szCs w:val="22"/>
              </w:rPr>
            </w:pPr>
            <w:r w:rsidRPr="00FF3072">
              <w:rPr>
                <w:rFonts w:asciiTheme="minorHAnsi" w:hAnsiTheme="minorHAnsi" w:cstheme="minorHAnsi"/>
                <w:szCs w:val="22"/>
              </w:rPr>
              <w:t>Obiter Dictum;</w:t>
            </w:r>
          </w:p>
          <w:p w14:paraId="22CFC370" w14:textId="77777777" w:rsidR="00B478A2" w:rsidRPr="00FF3072" w:rsidRDefault="00B478A2" w:rsidP="00B478A2">
            <w:pPr>
              <w:pStyle w:val="BodyText"/>
              <w:numPr>
                <w:ilvl w:val="0"/>
                <w:numId w:val="5"/>
              </w:numPr>
              <w:ind w:right="180"/>
              <w:rPr>
                <w:rFonts w:asciiTheme="minorHAnsi" w:hAnsiTheme="minorHAnsi" w:cstheme="minorHAnsi"/>
                <w:szCs w:val="22"/>
              </w:rPr>
            </w:pPr>
            <w:r w:rsidRPr="00FF3072">
              <w:rPr>
                <w:rFonts w:asciiTheme="minorHAnsi" w:hAnsiTheme="minorHAnsi" w:cstheme="minorHAnsi"/>
                <w:szCs w:val="22"/>
              </w:rPr>
              <w:t xml:space="preserve">Advantages/Disadvantages of the doctrine. </w:t>
            </w:r>
          </w:p>
        </w:tc>
      </w:tr>
      <w:tr w:rsidR="00B478A2" w:rsidRPr="00FF3072" w14:paraId="785D136C" w14:textId="77777777" w:rsidTr="00B54421">
        <w:tc>
          <w:tcPr>
            <w:tcW w:w="1690" w:type="pct"/>
            <w:tcBorders>
              <w:top w:val="single" w:sz="4" w:space="0" w:color="auto"/>
              <w:left w:val="single" w:sz="4" w:space="0" w:color="auto"/>
              <w:bottom w:val="single" w:sz="4" w:space="0" w:color="auto"/>
              <w:right w:val="single" w:sz="4" w:space="0" w:color="auto"/>
            </w:tcBorders>
            <w:vAlign w:val="center"/>
          </w:tcPr>
          <w:p w14:paraId="0BBDF31F" w14:textId="77777777" w:rsidR="00B478A2" w:rsidRPr="00FF3072" w:rsidRDefault="00B478A2" w:rsidP="00B54421">
            <w:pPr>
              <w:pStyle w:val="BodyText"/>
              <w:ind w:right="180"/>
              <w:rPr>
                <w:rFonts w:asciiTheme="minorHAnsi" w:hAnsiTheme="minorHAnsi" w:cstheme="minorHAnsi"/>
                <w:b/>
                <w:szCs w:val="22"/>
              </w:rPr>
            </w:pPr>
          </w:p>
          <w:p w14:paraId="1124A0A4" w14:textId="77777777" w:rsidR="00B478A2" w:rsidRPr="00FF3072" w:rsidRDefault="00B478A2" w:rsidP="00B54421">
            <w:pPr>
              <w:pStyle w:val="BodyText"/>
              <w:ind w:right="180"/>
              <w:rPr>
                <w:rFonts w:asciiTheme="minorHAnsi" w:hAnsiTheme="minorHAnsi" w:cstheme="minorHAnsi"/>
                <w:b/>
                <w:szCs w:val="22"/>
              </w:rPr>
            </w:pPr>
            <w:r w:rsidRPr="00FF3072">
              <w:rPr>
                <w:rFonts w:asciiTheme="minorHAnsi" w:hAnsiTheme="minorHAnsi" w:cstheme="minorHAnsi"/>
                <w:b/>
                <w:szCs w:val="22"/>
              </w:rPr>
              <w:t>Lega</w:t>
            </w:r>
            <w:r>
              <w:rPr>
                <w:rFonts w:asciiTheme="minorHAnsi" w:hAnsiTheme="minorHAnsi" w:cstheme="minorHAnsi"/>
                <w:b/>
                <w:szCs w:val="22"/>
              </w:rPr>
              <w:t>l Research and Academic Writing</w:t>
            </w:r>
          </w:p>
          <w:p w14:paraId="453365C8" w14:textId="77777777" w:rsidR="00B478A2" w:rsidRPr="00FF3072" w:rsidRDefault="00B478A2" w:rsidP="00B54421">
            <w:pPr>
              <w:pStyle w:val="BodyText"/>
              <w:ind w:right="180"/>
              <w:rPr>
                <w:rFonts w:asciiTheme="minorHAnsi" w:hAnsiTheme="minorHAnsi" w:cstheme="minorHAnsi"/>
                <w:b/>
                <w:szCs w:val="22"/>
              </w:rPr>
            </w:pPr>
            <w:r>
              <w:rPr>
                <w:rFonts w:asciiTheme="minorHAnsi" w:hAnsiTheme="minorHAnsi" w:cstheme="minorHAnsi"/>
                <w:szCs w:val="22"/>
              </w:rPr>
              <w:t>(</w:t>
            </w:r>
            <w:r w:rsidRPr="00FF3072">
              <w:rPr>
                <w:rFonts w:asciiTheme="minorHAnsi" w:hAnsiTheme="minorHAnsi" w:cstheme="minorHAnsi"/>
                <w:szCs w:val="22"/>
              </w:rPr>
              <w:t>4 hours, 19%</w:t>
            </w:r>
            <w:r>
              <w:rPr>
                <w:rFonts w:asciiTheme="minorHAnsi" w:hAnsiTheme="minorHAnsi" w:cstheme="minorHAnsi"/>
                <w:szCs w:val="22"/>
              </w:rPr>
              <w:t>)</w:t>
            </w:r>
          </w:p>
        </w:tc>
        <w:tc>
          <w:tcPr>
            <w:tcW w:w="3310" w:type="pct"/>
            <w:tcBorders>
              <w:top w:val="single" w:sz="4" w:space="0" w:color="auto"/>
              <w:left w:val="single" w:sz="4" w:space="0" w:color="auto"/>
              <w:bottom w:val="single" w:sz="4" w:space="0" w:color="auto"/>
              <w:right w:val="single" w:sz="4" w:space="0" w:color="auto"/>
            </w:tcBorders>
            <w:vAlign w:val="center"/>
          </w:tcPr>
          <w:p w14:paraId="5FD477F4" w14:textId="77777777" w:rsidR="00B478A2" w:rsidRPr="00FF3072" w:rsidRDefault="00B478A2" w:rsidP="00B54421">
            <w:pPr>
              <w:pStyle w:val="BodyText"/>
              <w:ind w:right="180"/>
              <w:rPr>
                <w:rFonts w:asciiTheme="minorHAnsi" w:hAnsiTheme="minorHAnsi" w:cstheme="minorHAnsi"/>
                <w:szCs w:val="22"/>
              </w:rPr>
            </w:pPr>
            <w:r w:rsidRPr="00FF3072">
              <w:rPr>
                <w:rFonts w:asciiTheme="minorHAnsi" w:hAnsiTheme="minorHAnsi" w:cstheme="minorHAnsi"/>
                <w:szCs w:val="22"/>
              </w:rPr>
              <w:t>This lecture examines:</w:t>
            </w:r>
          </w:p>
          <w:p w14:paraId="750AC4B9" w14:textId="77777777" w:rsidR="00B478A2" w:rsidRPr="00FF3072" w:rsidRDefault="00B478A2" w:rsidP="00B478A2">
            <w:pPr>
              <w:pStyle w:val="BodyText"/>
              <w:numPr>
                <w:ilvl w:val="0"/>
                <w:numId w:val="5"/>
              </w:numPr>
              <w:ind w:right="180"/>
              <w:rPr>
                <w:rFonts w:asciiTheme="minorHAnsi" w:hAnsiTheme="minorHAnsi" w:cstheme="minorHAnsi"/>
                <w:szCs w:val="22"/>
              </w:rPr>
            </w:pPr>
            <w:r w:rsidRPr="00FF3072">
              <w:rPr>
                <w:rFonts w:asciiTheme="minorHAnsi" w:hAnsiTheme="minorHAnsi" w:cstheme="minorHAnsi"/>
                <w:szCs w:val="22"/>
              </w:rPr>
              <w:t>How to read and interpret the different sources of law;</w:t>
            </w:r>
          </w:p>
          <w:p w14:paraId="3929DB6D" w14:textId="77777777" w:rsidR="00B478A2" w:rsidRPr="00FF3072" w:rsidRDefault="00B478A2" w:rsidP="00B478A2">
            <w:pPr>
              <w:pStyle w:val="BodyText"/>
              <w:numPr>
                <w:ilvl w:val="0"/>
                <w:numId w:val="5"/>
              </w:numPr>
              <w:ind w:right="180"/>
              <w:rPr>
                <w:rFonts w:asciiTheme="minorHAnsi" w:hAnsiTheme="minorHAnsi" w:cstheme="minorHAnsi"/>
                <w:szCs w:val="22"/>
              </w:rPr>
            </w:pPr>
            <w:r w:rsidRPr="00FF3072">
              <w:rPr>
                <w:rFonts w:asciiTheme="minorHAnsi" w:hAnsiTheme="minorHAnsi" w:cstheme="minorHAnsi"/>
                <w:szCs w:val="22"/>
              </w:rPr>
              <w:t>Legal Research;</w:t>
            </w:r>
          </w:p>
          <w:p w14:paraId="15D3C5EF" w14:textId="77777777" w:rsidR="00B478A2" w:rsidRPr="0012104C" w:rsidRDefault="00B478A2" w:rsidP="00B478A2">
            <w:pPr>
              <w:pStyle w:val="BodyText"/>
              <w:numPr>
                <w:ilvl w:val="0"/>
                <w:numId w:val="5"/>
              </w:numPr>
              <w:ind w:right="180"/>
              <w:rPr>
                <w:rFonts w:asciiTheme="minorHAnsi" w:hAnsiTheme="minorHAnsi" w:cstheme="minorHAnsi"/>
                <w:szCs w:val="22"/>
              </w:rPr>
            </w:pPr>
            <w:r w:rsidRPr="00FF3072">
              <w:rPr>
                <w:rFonts w:asciiTheme="minorHAnsi" w:hAnsiTheme="minorHAnsi" w:cstheme="minorHAnsi"/>
                <w:szCs w:val="22"/>
              </w:rPr>
              <w:t>Academic Writing.</w:t>
            </w:r>
          </w:p>
        </w:tc>
      </w:tr>
      <w:tr w:rsidR="00B478A2" w:rsidRPr="00FF3072" w14:paraId="7F55710E" w14:textId="77777777" w:rsidTr="00B54421">
        <w:tc>
          <w:tcPr>
            <w:tcW w:w="1690" w:type="pct"/>
            <w:tcBorders>
              <w:top w:val="single" w:sz="4" w:space="0" w:color="auto"/>
              <w:left w:val="single" w:sz="4" w:space="0" w:color="auto"/>
              <w:bottom w:val="single" w:sz="4" w:space="0" w:color="auto"/>
              <w:right w:val="single" w:sz="4" w:space="0" w:color="auto"/>
            </w:tcBorders>
            <w:vAlign w:val="center"/>
          </w:tcPr>
          <w:p w14:paraId="25BF1FE1" w14:textId="77777777" w:rsidR="00B478A2" w:rsidRPr="00FF3072" w:rsidRDefault="00B478A2" w:rsidP="00B54421">
            <w:pPr>
              <w:pStyle w:val="BodyText"/>
              <w:ind w:right="180"/>
              <w:rPr>
                <w:rFonts w:asciiTheme="minorHAnsi" w:hAnsiTheme="minorHAnsi" w:cstheme="minorHAnsi"/>
                <w:b/>
                <w:szCs w:val="22"/>
              </w:rPr>
            </w:pPr>
            <w:r w:rsidRPr="00FF3072">
              <w:rPr>
                <w:rFonts w:asciiTheme="minorHAnsi" w:hAnsiTheme="minorHAnsi" w:cstheme="minorHAnsi"/>
                <w:b/>
                <w:szCs w:val="22"/>
              </w:rPr>
              <w:t>The Irish Courts</w:t>
            </w:r>
          </w:p>
          <w:p w14:paraId="3036C824" w14:textId="77777777" w:rsidR="00B478A2" w:rsidRPr="0012104C" w:rsidRDefault="00B478A2" w:rsidP="00B54421">
            <w:pPr>
              <w:pStyle w:val="BodyText"/>
              <w:ind w:right="180"/>
              <w:rPr>
                <w:rFonts w:asciiTheme="minorHAnsi" w:hAnsiTheme="minorHAnsi" w:cstheme="minorHAnsi"/>
                <w:szCs w:val="22"/>
              </w:rPr>
            </w:pPr>
            <w:r w:rsidRPr="0012104C">
              <w:rPr>
                <w:rFonts w:asciiTheme="minorHAnsi" w:hAnsiTheme="minorHAnsi" w:cstheme="minorHAnsi"/>
                <w:szCs w:val="22"/>
              </w:rPr>
              <w:t>(4 hours, 19%)</w:t>
            </w:r>
          </w:p>
        </w:tc>
        <w:tc>
          <w:tcPr>
            <w:tcW w:w="3310" w:type="pct"/>
            <w:tcBorders>
              <w:top w:val="single" w:sz="4" w:space="0" w:color="auto"/>
              <w:left w:val="single" w:sz="4" w:space="0" w:color="auto"/>
              <w:bottom w:val="single" w:sz="4" w:space="0" w:color="auto"/>
              <w:right w:val="single" w:sz="4" w:space="0" w:color="auto"/>
            </w:tcBorders>
            <w:vAlign w:val="center"/>
          </w:tcPr>
          <w:p w14:paraId="40A8D8E8" w14:textId="77777777" w:rsidR="00B478A2" w:rsidRPr="00FF3072" w:rsidRDefault="00B478A2" w:rsidP="00B54421">
            <w:pPr>
              <w:pStyle w:val="BodyText"/>
              <w:ind w:right="180"/>
              <w:rPr>
                <w:rFonts w:asciiTheme="minorHAnsi" w:hAnsiTheme="minorHAnsi" w:cstheme="minorHAnsi"/>
                <w:szCs w:val="22"/>
              </w:rPr>
            </w:pPr>
            <w:r w:rsidRPr="00FF3072">
              <w:rPr>
                <w:rFonts w:asciiTheme="minorHAnsi" w:hAnsiTheme="minorHAnsi" w:cstheme="minorHAnsi"/>
                <w:szCs w:val="22"/>
              </w:rPr>
              <w:t>This lecture examines:</w:t>
            </w:r>
          </w:p>
          <w:p w14:paraId="28960F3B" w14:textId="77777777" w:rsidR="00B478A2" w:rsidRPr="00FF3072" w:rsidRDefault="00B478A2" w:rsidP="00B478A2">
            <w:pPr>
              <w:pStyle w:val="BodyText"/>
              <w:numPr>
                <w:ilvl w:val="0"/>
                <w:numId w:val="3"/>
              </w:numPr>
              <w:ind w:right="180"/>
              <w:rPr>
                <w:rFonts w:asciiTheme="minorHAnsi" w:hAnsiTheme="minorHAnsi" w:cstheme="minorHAnsi"/>
                <w:szCs w:val="22"/>
              </w:rPr>
            </w:pPr>
            <w:r w:rsidRPr="00FF3072">
              <w:rPr>
                <w:rFonts w:asciiTheme="minorHAnsi" w:hAnsiTheme="minorHAnsi" w:cstheme="minorHAnsi"/>
                <w:szCs w:val="22"/>
              </w:rPr>
              <w:t xml:space="preserve">The hierarchy of the Irish courts; </w:t>
            </w:r>
          </w:p>
          <w:p w14:paraId="1FD300D5" w14:textId="77777777" w:rsidR="00B478A2" w:rsidRPr="00FF3072" w:rsidRDefault="00B478A2" w:rsidP="00B478A2">
            <w:pPr>
              <w:pStyle w:val="BodyText"/>
              <w:numPr>
                <w:ilvl w:val="0"/>
                <w:numId w:val="3"/>
              </w:numPr>
              <w:ind w:right="180"/>
              <w:rPr>
                <w:rFonts w:asciiTheme="minorHAnsi" w:hAnsiTheme="minorHAnsi" w:cstheme="minorHAnsi"/>
                <w:szCs w:val="22"/>
              </w:rPr>
            </w:pPr>
            <w:r w:rsidRPr="00FF3072">
              <w:rPr>
                <w:rFonts w:asciiTheme="minorHAnsi" w:hAnsiTheme="minorHAnsi" w:cstheme="minorHAnsi"/>
                <w:szCs w:val="22"/>
              </w:rPr>
              <w:t xml:space="preserve">The civil jurisdiction of the courts; </w:t>
            </w:r>
          </w:p>
          <w:p w14:paraId="7CD3C045" w14:textId="77777777" w:rsidR="00B478A2" w:rsidRPr="00FF3072" w:rsidRDefault="00B478A2" w:rsidP="00B478A2">
            <w:pPr>
              <w:pStyle w:val="BodyText"/>
              <w:numPr>
                <w:ilvl w:val="0"/>
                <w:numId w:val="3"/>
              </w:numPr>
              <w:ind w:right="180"/>
              <w:rPr>
                <w:rFonts w:asciiTheme="minorHAnsi" w:hAnsiTheme="minorHAnsi" w:cstheme="minorHAnsi"/>
                <w:szCs w:val="22"/>
              </w:rPr>
            </w:pPr>
            <w:r w:rsidRPr="00FF3072">
              <w:rPr>
                <w:rFonts w:asciiTheme="minorHAnsi" w:hAnsiTheme="minorHAnsi" w:cstheme="minorHAnsi"/>
                <w:szCs w:val="22"/>
              </w:rPr>
              <w:t xml:space="preserve">The criminal jurisdiction of the courts; </w:t>
            </w:r>
          </w:p>
          <w:p w14:paraId="62840F8D" w14:textId="77777777" w:rsidR="00B478A2" w:rsidRPr="00FF3072" w:rsidRDefault="00B478A2" w:rsidP="00B478A2">
            <w:pPr>
              <w:pStyle w:val="BodyText"/>
              <w:numPr>
                <w:ilvl w:val="0"/>
                <w:numId w:val="3"/>
              </w:numPr>
              <w:ind w:right="180"/>
              <w:rPr>
                <w:rFonts w:asciiTheme="minorHAnsi" w:hAnsiTheme="minorHAnsi" w:cstheme="minorHAnsi"/>
                <w:szCs w:val="22"/>
              </w:rPr>
            </w:pPr>
            <w:r w:rsidRPr="00FF3072">
              <w:rPr>
                <w:rFonts w:asciiTheme="minorHAnsi" w:hAnsiTheme="minorHAnsi" w:cstheme="minorHAnsi"/>
                <w:szCs w:val="22"/>
              </w:rPr>
              <w:t xml:space="preserve">The appellate jurisdiction of the courts. </w:t>
            </w:r>
          </w:p>
        </w:tc>
      </w:tr>
      <w:tr w:rsidR="00B478A2" w:rsidRPr="00FF3072" w14:paraId="0C28AF75" w14:textId="77777777" w:rsidTr="00B54421">
        <w:tc>
          <w:tcPr>
            <w:tcW w:w="1690" w:type="pct"/>
            <w:tcBorders>
              <w:top w:val="single" w:sz="4" w:space="0" w:color="auto"/>
              <w:left w:val="single" w:sz="4" w:space="0" w:color="auto"/>
              <w:bottom w:val="single" w:sz="4" w:space="0" w:color="auto"/>
              <w:right w:val="single" w:sz="4" w:space="0" w:color="auto"/>
            </w:tcBorders>
            <w:vAlign w:val="center"/>
          </w:tcPr>
          <w:p w14:paraId="0BDF2851" w14:textId="77777777" w:rsidR="00B478A2" w:rsidRPr="00FF3072" w:rsidRDefault="00B478A2" w:rsidP="00B54421">
            <w:pPr>
              <w:pStyle w:val="BodyText"/>
              <w:ind w:right="180"/>
              <w:rPr>
                <w:rFonts w:asciiTheme="minorHAnsi" w:hAnsiTheme="minorHAnsi" w:cstheme="minorHAnsi"/>
                <w:b/>
                <w:szCs w:val="22"/>
              </w:rPr>
            </w:pPr>
            <w:r>
              <w:rPr>
                <w:rFonts w:asciiTheme="minorHAnsi" w:hAnsiTheme="minorHAnsi" w:cstheme="minorHAnsi"/>
                <w:b/>
                <w:szCs w:val="22"/>
              </w:rPr>
              <w:t xml:space="preserve">Legal Personnel </w:t>
            </w:r>
          </w:p>
          <w:p w14:paraId="0B1A5337" w14:textId="77777777" w:rsidR="00B478A2" w:rsidRPr="00FF3072" w:rsidRDefault="00B478A2" w:rsidP="00B54421">
            <w:pPr>
              <w:pStyle w:val="BodyText"/>
              <w:ind w:right="180"/>
              <w:rPr>
                <w:rFonts w:asciiTheme="minorHAnsi" w:hAnsiTheme="minorHAnsi" w:cstheme="minorHAnsi"/>
                <w:b/>
                <w:szCs w:val="22"/>
              </w:rPr>
            </w:pPr>
            <w:r>
              <w:rPr>
                <w:rFonts w:asciiTheme="minorHAnsi" w:hAnsiTheme="minorHAnsi" w:cstheme="minorHAnsi"/>
                <w:szCs w:val="22"/>
              </w:rPr>
              <w:t>(</w:t>
            </w:r>
            <w:r w:rsidRPr="00FF3072">
              <w:rPr>
                <w:rFonts w:asciiTheme="minorHAnsi" w:hAnsiTheme="minorHAnsi" w:cstheme="minorHAnsi"/>
                <w:szCs w:val="22"/>
              </w:rPr>
              <w:t>4 hours, 19%</w:t>
            </w:r>
            <w:r>
              <w:rPr>
                <w:rFonts w:asciiTheme="minorHAnsi" w:hAnsiTheme="minorHAnsi" w:cstheme="minorHAnsi"/>
                <w:szCs w:val="22"/>
              </w:rPr>
              <w:t>)</w:t>
            </w:r>
          </w:p>
        </w:tc>
        <w:tc>
          <w:tcPr>
            <w:tcW w:w="3310" w:type="pct"/>
            <w:tcBorders>
              <w:top w:val="single" w:sz="4" w:space="0" w:color="auto"/>
              <w:left w:val="single" w:sz="4" w:space="0" w:color="auto"/>
              <w:bottom w:val="single" w:sz="4" w:space="0" w:color="auto"/>
              <w:right w:val="single" w:sz="4" w:space="0" w:color="auto"/>
            </w:tcBorders>
            <w:vAlign w:val="center"/>
          </w:tcPr>
          <w:p w14:paraId="0BF729C5" w14:textId="77777777" w:rsidR="00B478A2" w:rsidRPr="00FF3072" w:rsidRDefault="00B478A2" w:rsidP="00B54421">
            <w:pPr>
              <w:pStyle w:val="BodyText"/>
              <w:ind w:right="180"/>
              <w:rPr>
                <w:rFonts w:asciiTheme="minorHAnsi" w:hAnsiTheme="minorHAnsi" w:cstheme="minorHAnsi"/>
                <w:szCs w:val="22"/>
              </w:rPr>
            </w:pPr>
            <w:r w:rsidRPr="00FF3072">
              <w:rPr>
                <w:rFonts w:asciiTheme="minorHAnsi" w:hAnsiTheme="minorHAnsi" w:cstheme="minorHAnsi"/>
                <w:szCs w:val="22"/>
              </w:rPr>
              <w:t>This lecture examines:</w:t>
            </w:r>
          </w:p>
          <w:p w14:paraId="240A144E" w14:textId="77777777" w:rsidR="00B478A2" w:rsidRPr="00FF3072" w:rsidRDefault="00B478A2" w:rsidP="00B478A2">
            <w:pPr>
              <w:pStyle w:val="BodyText"/>
              <w:numPr>
                <w:ilvl w:val="0"/>
                <w:numId w:val="4"/>
              </w:numPr>
              <w:ind w:right="180"/>
              <w:rPr>
                <w:rFonts w:asciiTheme="minorHAnsi" w:hAnsiTheme="minorHAnsi" w:cstheme="minorHAnsi"/>
                <w:szCs w:val="22"/>
              </w:rPr>
            </w:pPr>
            <w:r w:rsidRPr="00FF3072">
              <w:rPr>
                <w:rFonts w:asciiTheme="minorHAnsi" w:hAnsiTheme="minorHAnsi" w:cstheme="minorHAnsi"/>
                <w:szCs w:val="22"/>
              </w:rPr>
              <w:t xml:space="preserve">The role and education of barristers, solicitors and legal executives; </w:t>
            </w:r>
          </w:p>
          <w:p w14:paraId="31B9AE7B" w14:textId="77777777" w:rsidR="00B478A2" w:rsidRPr="00FF3072" w:rsidRDefault="00B478A2" w:rsidP="00B478A2">
            <w:pPr>
              <w:pStyle w:val="BodyText"/>
              <w:numPr>
                <w:ilvl w:val="0"/>
                <w:numId w:val="4"/>
              </w:numPr>
              <w:ind w:right="180"/>
              <w:rPr>
                <w:rFonts w:asciiTheme="minorHAnsi" w:hAnsiTheme="minorHAnsi" w:cstheme="minorHAnsi"/>
                <w:szCs w:val="22"/>
              </w:rPr>
            </w:pPr>
            <w:r w:rsidRPr="00FF3072">
              <w:rPr>
                <w:rFonts w:asciiTheme="minorHAnsi" w:hAnsiTheme="minorHAnsi" w:cstheme="minorHAnsi"/>
                <w:szCs w:val="22"/>
              </w:rPr>
              <w:t xml:space="preserve">The appointment, retirement and removal of Judges. </w:t>
            </w:r>
          </w:p>
          <w:p w14:paraId="3B677CBA" w14:textId="77777777" w:rsidR="00B478A2" w:rsidRPr="00FF3072" w:rsidRDefault="00B478A2" w:rsidP="00B478A2">
            <w:pPr>
              <w:pStyle w:val="BodyText"/>
              <w:numPr>
                <w:ilvl w:val="0"/>
                <w:numId w:val="4"/>
              </w:numPr>
              <w:ind w:right="180"/>
              <w:rPr>
                <w:rFonts w:asciiTheme="minorHAnsi" w:hAnsiTheme="minorHAnsi" w:cstheme="minorHAnsi"/>
                <w:szCs w:val="22"/>
              </w:rPr>
            </w:pPr>
            <w:r w:rsidRPr="00FF3072">
              <w:rPr>
                <w:rFonts w:asciiTheme="minorHAnsi" w:hAnsiTheme="minorHAnsi" w:cstheme="minorHAnsi"/>
                <w:szCs w:val="22"/>
              </w:rPr>
              <w:t>Other significant legal personnel including the Director of Public Prosecutions, the Attorney General, County Registrars and County Sheriffs.</w:t>
            </w:r>
          </w:p>
        </w:tc>
      </w:tr>
      <w:tr w:rsidR="00B478A2" w:rsidRPr="00FF3072" w14:paraId="1894394F" w14:textId="77777777" w:rsidTr="00B54421">
        <w:tc>
          <w:tcPr>
            <w:tcW w:w="1690" w:type="pct"/>
            <w:tcBorders>
              <w:top w:val="single" w:sz="4" w:space="0" w:color="auto"/>
              <w:left w:val="single" w:sz="4" w:space="0" w:color="auto"/>
              <w:bottom w:val="single" w:sz="4" w:space="0" w:color="auto"/>
              <w:right w:val="single" w:sz="4" w:space="0" w:color="auto"/>
            </w:tcBorders>
            <w:vAlign w:val="center"/>
          </w:tcPr>
          <w:p w14:paraId="0FDFE4B6" w14:textId="77777777" w:rsidR="00B478A2" w:rsidRPr="00FF3072" w:rsidRDefault="00B478A2" w:rsidP="00B54421">
            <w:pPr>
              <w:pStyle w:val="BodyText"/>
              <w:ind w:right="180"/>
              <w:rPr>
                <w:rFonts w:asciiTheme="minorHAnsi" w:hAnsiTheme="minorHAnsi" w:cstheme="minorHAnsi"/>
                <w:b/>
                <w:szCs w:val="22"/>
              </w:rPr>
            </w:pPr>
            <w:r w:rsidRPr="00FF3072">
              <w:rPr>
                <w:rFonts w:asciiTheme="minorHAnsi" w:hAnsiTheme="minorHAnsi" w:cstheme="minorHAnsi"/>
                <w:b/>
                <w:szCs w:val="22"/>
              </w:rPr>
              <w:t>Revision &amp; Preparation</w:t>
            </w:r>
          </w:p>
          <w:p w14:paraId="1B55DF5A" w14:textId="77777777" w:rsidR="00B478A2" w:rsidRPr="00FF3072" w:rsidRDefault="00B478A2" w:rsidP="00B54421">
            <w:pPr>
              <w:pStyle w:val="BodyText"/>
              <w:ind w:right="180"/>
              <w:rPr>
                <w:rFonts w:asciiTheme="minorHAnsi" w:hAnsiTheme="minorHAnsi" w:cstheme="minorHAnsi"/>
                <w:szCs w:val="22"/>
              </w:rPr>
            </w:pPr>
            <w:r>
              <w:rPr>
                <w:rFonts w:asciiTheme="minorHAnsi" w:hAnsiTheme="minorHAnsi" w:cstheme="minorHAnsi"/>
                <w:szCs w:val="22"/>
              </w:rPr>
              <w:t>(</w:t>
            </w:r>
            <w:r w:rsidRPr="00FF3072">
              <w:rPr>
                <w:rFonts w:asciiTheme="minorHAnsi" w:hAnsiTheme="minorHAnsi" w:cstheme="minorHAnsi"/>
                <w:szCs w:val="22"/>
              </w:rPr>
              <w:t>1 hour, 5%</w:t>
            </w:r>
            <w:r>
              <w:rPr>
                <w:rFonts w:asciiTheme="minorHAnsi" w:hAnsiTheme="minorHAnsi" w:cstheme="minorHAnsi"/>
                <w:szCs w:val="22"/>
              </w:rPr>
              <w:t>)</w:t>
            </w:r>
          </w:p>
        </w:tc>
        <w:tc>
          <w:tcPr>
            <w:tcW w:w="3310" w:type="pct"/>
            <w:tcBorders>
              <w:top w:val="single" w:sz="4" w:space="0" w:color="auto"/>
              <w:left w:val="single" w:sz="4" w:space="0" w:color="auto"/>
              <w:bottom w:val="single" w:sz="4" w:space="0" w:color="auto"/>
              <w:right w:val="single" w:sz="4" w:space="0" w:color="auto"/>
            </w:tcBorders>
            <w:vAlign w:val="center"/>
          </w:tcPr>
          <w:p w14:paraId="4866533D" w14:textId="77777777" w:rsidR="00B478A2" w:rsidRPr="00FF3072" w:rsidRDefault="00B478A2" w:rsidP="00B54421">
            <w:pPr>
              <w:pStyle w:val="BodyText"/>
              <w:ind w:right="180"/>
              <w:rPr>
                <w:rFonts w:asciiTheme="minorHAnsi" w:hAnsiTheme="minorHAnsi" w:cstheme="minorHAnsi"/>
                <w:szCs w:val="22"/>
              </w:rPr>
            </w:pPr>
            <w:r w:rsidRPr="00FF3072">
              <w:rPr>
                <w:rFonts w:asciiTheme="minorHAnsi" w:hAnsiTheme="minorHAnsi" w:cstheme="minorHAnsi"/>
                <w:szCs w:val="22"/>
              </w:rPr>
              <w:t>This session will provide a revision class for learners with exam preparation guidance and assistance.</w:t>
            </w:r>
          </w:p>
        </w:tc>
      </w:tr>
    </w:tbl>
    <w:p w14:paraId="09673FA1" w14:textId="77777777" w:rsidR="00B478A2" w:rsidRDefault="00B478A2" w:rsidP="00B478A2">
      <w:pPr>
        <w:rPr>
          <w:rFonts w:asciiTheme="minorHAnsi" w:hAnsiTheme="minorHAnsi" w:cstheme="minorHAnsi"/>
          <w:szCs w:val="22"/>
        </w:rPr>
      </w:pPr>
    </w:p>
    <w:p w14:paraId="5900B23E" w14:textId="77777777" w:rsidR="00B478A2" w:rsidRDefault="00B478A2" w:rsidP="00B478A2">
      <w:pPr>
        <w:suppressAutoHyphens w:val="0"/>
        <w:spacing w:after="160" w:line="259" w:lineRule="auto"/>
        <w:rPr>
          <w:rFonts w:asciiTheme="minorHAnsi" w:hAnsiTheme="minorHAnsi" w:cstheme="minorHAnsi"/>
          <w:szCs w:val="22"/>
        </w:rPr>
      </w:pPr>
      <w:r>
        <w:rPr>
          <w:rFonts w:asciiTheme="minorHAnsi" w:hAnsiTheme="minorHAnsi" w:cstheme="minorHAnsi"/>
          <w:szCs w:val="22"/>
        </w:rPr>
        <w:br w:type="page"/>
      </w:r>
    </w:p>
    <w:p w14:paraId="0AC2DB8E" w14:textId="77777777" w:rsidR="00B478A2" w:rsidRPr="0012104C" w:rsidRDefault="00B478A2" w:rsidP="00B478A2">
      <w:pPr>
        <w:pStyle w:val="Heading3"/>
      </w:pPr>
      <w:r w:rsidRPr="0012104C">
        <w:lastRenderedPageBreak/>
        <w:t>Module teaching and learning (including formative assessment) strategy</w:t>
      </w:r>
    </w:p>
    <w:p w14:paraId="706D80B1" w14:textId="77777777" w:rsidR="00B478A2" w:rsidRPr="0012104C" w:rsidRDefault="00B478A2" w:rsidP="00B478A2">
      <w:pPr>
        <w:jc w:val="both"/>
        <w:rPr>
          <w:rFonts w:asciiTheme="minorHAnsi" w:hAnsiTheme="minorHAnsi" w:cstheme="minorHAnsi"/>
          <w:b/>
          <w:bCs/>
          <w:color w:val="000000"/>
          <w:szCs w:val="22"/>
          <w:lang w:val="en-US"/>
        </w:rPr>
      </w:pPr>
      <w:r>
        <w:rPr>
          <w:rFonts w:asciiTheme="minorHAnsi" w:hAnsiTheme="minorHAnsi" w:cstheme="minorHAnsi"/>
          <w:szCs w:val="22"/>
        </w:rPr>
        <w:t>This module is</w:t>
      </w:r>
      <w:r w:rsidRPr="00FF3072">
        <w:rPr>
          <w:rFonts w:asciiTheme="minorHAnsi" w:hAnsiTheme="minorHAnsi" w:cstheme="minorHAnsi"/>
          <w:szCs w:val="22"/>
        </w:rPr>
        <w:t xml:space="preserve"> delivered through a series of lectures and guest lectures. Learners engage with the module</w:t>
      </w:r>
      <w:r>
        <w:rPr>
          <w:rFonts w:asciiTheme="minorHAnsi" w:hAnsiTheme="minorHAnsi" w:cstheme="minorHAnsi"/>
          <w:szCs w:val="22"/>
        </w:rPr>
        <w:t xml:space="preserve"> either in class; online via the</w:t>
      </w:r>
      <w:r w:rsidRPr="00FF3072">
        <w:rPr>
          <w:rFonts w:asciiTheme="minorHAnsi" w:hAnsiTheme="minorHAnsi" w:cstheme="minorHAnsi"/>
          <w:szCs w:val="22"/>
        </w:rPr>
        <w:t xml:space="preserve"> online streaming option or via recorded lectures. On Moodle, the </w:t>
      </w:r>
      <w:r>
        <w:rPr>
          <w:rFonts w:asciiTheme="minorHAnsi" w:hAnsiTheme="minorHAnsi" w:cstheme="minorHAnsi"/>
          <w:szCs w:val="22"/>
        </w:rPr>
        <w:t>VLE</w:t>
      </w:r>
      <w:r w:rsidRPr="00FF3072">
        <w:rPr>
          <w:rFonts w:asciiTheme="minorHAnsi" w:hAnsiTheme="minorHAnsi" w:cstheme="minorHAnsi"/>
          <w:szCs w:val="22"/>
        </w:rPr>
        <w:t xml:space="preserve">, the lecturer can interact with </w:t>
      </w:r>
      <w:r>
        <w:rPr>
          <w:rFonts w:asciiTheme="minorHAnsi" w:hAnsiTheme="minorHAnsi" w:cstheme="minorHAnsi"/>
          <w:szCs w:val="22"/>
        </w:rPr>
        <w:t>learner</w:t>
      </w:r>
      <w:r w:rsidRPr="00FF3072">
        <w:rPr>
          <w:rFonts w:asciiTheme="minorHAnsi" w:hAnsiTheme="minorHAnsi" w:cstheme="minorHAnsi"/>
          <w:szCs w:val="22"/>
        </w:rPr>
        <w:t>s via the class discussion fora and upload relevant additional learning material e.g. legal articles, case law, study aids and relevant multimedia. The module comprises of 21 contact hours, being 20 lecture hours and one revision/exam preparation class. Formative assessment is provided in the form of interac</w:t>
      </w:r>
      <w:r>
        <w:rPr>
          <w:rFonts w:asciiTheme="minorHAnsi" w:hAnsiTheme="minorHAnsi" w:cstheme="minorHAnsi"/>
          <w:szCs w:val="22"/>
        </w:rPr>
        <w:t>tive exercises such as tutorial-</w:t>
      </w:r>
      <w:r w:rsidRPr="00FF3072">
        <w:rPr>
          <w:rFonts w:asciiTheme="minorHAnsi" w:hAnsiTheme="minorHAnsi" w:cstheme="minorHAnsi"/>
          <w:szCs w:val="22"/>
        </w:rPr>
        <w:t>style discussions, quizzes, directed class discussion topics and collaborative group work.</w:t>
      </w:r>
      <w:r>
        <w:rPr>
          <w:rFonts w:asciiTheme="minorHAnsi" w:hAnsiTheme="minorHAnsi" w:cstheme="minorHAnsi"/>
          <w:szCs w:val="22"/>
        </w:rPr>
        <w:t xml:space="preserve"> </w:t>
      </w:r>
      <w:r w:rsidRPr="00FF3072">
        <w:rPr>
          <w:rFonts w:asciiTheme="minorHAnsi" w:hAnsiTheme="minorHAnsi" w:cstheme="minorHAnsi"/>
          <w:szCs w:val="22"/>
        </w:rPr>
        <w:t xml:space="preserve"> </w:t>
      </w:r>
    </w:p>
    <w:p w14:paraId="33EF09A7" w14:textId="77777777" w:rsidR="00B478A2" w:rsidRPr="00FF3072" w:rsidRDefault="00B478A2" w:rsidP="00B478A2">
      <w:pPr>
        <w:rPr>
          <w:rFonts w:asciiTheme="minorHAnsi" w:hAnsiTheme="minorHAnsi" w:cstheme="minorHAnsi"/>
          <w:szCs w:val="22"/>
        </w:rPr>
      </w:pPr>
    </w:p>
    <w:p w14:paraId="74520F2D" w14:textId="77777777" w:rsidR="00B478A2" w:rsidRPr="0012104C" w:rsidRDefault="00B478A2" w:rsidP="00B478A2">
      <w:pPr>
        <w:pStyle w:val="Heading3"/>
      </w:pPr>
      <w:r w:rsidRPr="0012104C">
        <w:t>Work-based learning and practice-placement</w:t>
      </w:r>
    </w:p>
    <w:p w14:paraId="0B1D2471" w14:textId="77777777" w:rsidR="00B478A2" w:rsidRPr="00FF3072" w:rsidRDefault="00B478A2" w:rsidP="00B478A2">
      <w:pPr>
        <w:rPr>
          <w:rFonts w:asciiTheme="minorHAnsi" w:hAnsiTheme="minorHAnsi" w:cstheme="minorHAnsi"/>
          <w:color w:val="000000" w:themeColor="text1"/>
          <w:szCs w:val="22"/>
        </w:rPr>
      </w:pPr>
      <w:r>
        <w:rPr>
          <w:rFonts w:asciiTheme="minorHAnsi" w:hAnsiTheme="minorHAnsi" w:cstheme="minorHAnsi"/>
          <w:color w:val="000000" w:themeColor="text1"/>
          <w:szCs w:val="22"/>
        </w:rPr>
        <w:t>There is no work-</w:t>
      </w:r>
      <w:r w:rsidRPr="00FF3072">
        <w:rPr>
          <w:rFonts w:asciiTheme="minorHAnsi" w:hAnsiTheme="minorHAnsi" w:cstheme="minorHAnsi"/>
          <w:color w:val="000000" w:themeColor="text1"/>
          <w:szCs w:val="22"/>
        </w:rPr>
        <w:t>based learning or practical placement in the module.</w:t>
      </w:r>
    </w:p>
    <w:p w14:paraId="780BB686" w14:textId="77777777" w:rsidR="00B478A2" w:rsidRPr="00FF3072" w:rsidRDefault="00B478A2" w:rsidP="00B478A2">
      <w:pPr>
        <w:rPr>
          <w:rFonts w:asciiTheme="minorHAnsi" w:hAnsiTheme="minorHAnsi" w:cstheme="minorHAnsi"/>
          <w:szCs w:val="22"/>
        </w:rPr>
      </w:pPr>
    </w:p>
    <w:p w14:paraId="74662AB6" w14:textId="77777777" w:rsidR="00B478A2" w:rsidRPr="0012104C" w:rsidRDefault="00B478A2" w:rsidP="00B478A2">
      <w:pPr>
        <w:pStyle w:val="Heading3"/>
      </w:pPr>
      <w:r w:rsidRPr="0012104C">
        <w:t>E-learning</w:t>
      </w:r>
    </w:p>
    <w:p w14:paraId="0E818806" w14:textId="77777777" w:rsidR="00B478A2" w:rsidRPr="00FF3072" w:rsidRDefault="00B478A2" w:rsidP="00B478A2">
      <w:pPr>
        <w:jc w:val="both"/>
        <w:rPr>
          <w:rFonts w:asciiTheme="minorHAnsi" w:hAnsiTheme="minorHAnsi" w:cstheme="minorHAnsi"/>
          <w:szCs w:val="22"/>
        </w:rPr>
      </w:pPr>
      <w:r w:rsidRPr="00FF3072">
        <w:rPr>
          <w:rFonts w:asciiTheme="minorHAnsi" w:hAnsiTheme="minorHAnsi" w:cstheme="minorHAnsi"/>
          <w:szCs w:val="22"/>
        </w:rPr>
        <w:t xml:space="preserve">Griffith College uses Moodle, a virtual learning environment, to support its delivery of e-learning activities in the form of peer-to-peer support based around activities where </w:t>
      </w:r>
      <w:r>
        <w:rPr>
          <w:rFonts w:asciiTheme="minorHAnsi" w:hAnsiTheme="minorHAnsi" w:cstheme="minorHAnsi"/>
          <w:szCs w:val="22"/>
        </w:rPr>
        <w:t>learners</w:t>
      </w:r>
      <w:r w:rsidRPr="00FF3072">
        <w:rPr>
          <w:rFonts w:asciiTheme="minorHAnsi" w:hAnsiTheme="minorHAnsi" w:cstheme="minorHAnsi"/>
          <w:szCs w:val="22"/>
        </w:rPr>
        <w:t xml:space="preserve"> give and receive feedback, forums where </w:t>
      </w:r>
      <w:r>
        <w:rPr>
          <w:rFonts w:asciiTheme="minorHAnsi" w:hAnsiTheme="minorHAnsi" w:cstheme="minorHAnsi"/>
          <w:szCs w:val="22"/>
        </w:rPr>
        <w:t>learners</w:t>
      </w:r>
      <w:r w:rsidRPr="00FF3072">
        <w:rPr>
          <w:rFonts w:asciiTheme="minorHAnsi" w:hAnsiTheme="minorHAnsi" w:cstheme="minorHAnsi"/>
          <w:szCs w:val="22"/>
        </w:rPr>
        <w:t xml:space="preserve"> must contribute, formative quizzes and video links.</w:t>
      </w:r>
    </w:p>
    <w:p w14:paraId="1A4C040E" w14:textId="77777777" w:rsidR="00B478A2" w:rsidRPr="00FF3072" w:rsidRDefault="00B478A2" w:rsidP="00B478A2">
      <w:pPr>
        <w:rPr>
          <w:rFonts w:asciiTheme="minorHAnsi" w:hAnsiTheme="minorHAnsi" w:cstheme="minorHAnsi"/>
          <w:szCs w:val="22"/>
        </w:rPr>
      </w:pPr>
    </w:p>
    <w:p w14:paraId="71445790" w14:textId="77777777" w:rsidR="00B478A2" w:rsidRPr="0012104C" w:rsidRDefault="00B478A2" w:rsidP="00B478A2">
      <w:pPr>
        <w:pStyle w:val="Heading3"/>
      </w:pPr>
      <w:r w:rsidRPr="0012104C">
        <w:t>Module physical resource requirements</w:t>
      </w:r>
    </w:p>
    <w:p w14:paraId="65E01E48" w14:textId="77777777" w:rsidR="00B478A2" w:rsidRPr="00FF3072" w:rsidRDefault="00B478A2" w:rsidP="00B478A2">
      <w:pPr>
        <w:jc w:val="both"/>
        <w:rPr>
          <w:rFonts w:asciiTheme="minorHAnsi" w:hAnsiTheme="minorHAnsi" w:cstheme="minorHAnsi"/>
          <w:szCs w:val="22"/>
        </w:rPr>
      </w:pPr>
      <w:r w:rsidRPr="00FF3072">
        <w:rPr>
          <w:rFonts w:asciiTheme="minorHAnsi" w:hAnsiTheme="minorHAnsi" w:cstheme="minorHAnsi"/>
          <w:szCs w:val="22"/>
        </w:rPr>
        <w:t xml:space="preserve">Requirements are for a fully equipped classroom. The classroom has </w:t>
      </w:r>
      <w:r>
        <w:rPr>
          <w:rFonts w:asciiTheme="minorHAnsi" w:hAnsiTheme="minorHAnsi" w:cstheme="minorHAnsi"/>
          <w:szCs w:val="22"/>
        </w:rPr>
        <w:t>Wi-Fi</w:t>
      </w:r>
      <w:r w:rsidRPr="00FF3072">
        <w:rPr>
          <w:rFonts w:asciiTheme="minorHAnsi" w:hAnsiTheme="minorHAnsi" w:cstheme="minorHAnsi"/>
          <w:szCs w:val="22"/>
        </w:rPr>
        <w:t xml:space="preserve"> access and is equipped with a PC with Zoom and Microsoft Office. In addition the classroom has digital recording facilities and digital projector. No other software is required for this module.</w:t>
      </w:r>
      <w:r>
        <w:rPr>
          <w:rFonts w:asciiTheme="minorHAnsi" w:hAnsiTheme="minorHAnsi" w:cstheme="minorHAnsi"/>
          <w:szCs w:val="22"/>
        </w:rPr>
        <w:t xml:space="preserve"> </w:t>
      </w:r>
      <w:r w:rsidRPr="00FF3072">
        <w:rPr>
          <w:rFonts w:asciiTheme="minorHAnsi" w:hAnsiTheme="minorHAnsi" w:cstheme="minorHAnsi"/>
          <w:szCs w:val="22"/>
        </w:rPr>
        <w:t xml:space="preserve">The College library has </w:t>
      </w:r>
      <w:r>
        <w:rPr>
          <w:rFonts w:asciiTheme="minorHAnsi" w:hAnsiTheme="minorHAnsi" w:cstheme="minorHAnsi"/>
          <w:szCs w:val="22"/>
        </w:rPr>
        <w:t>a dedicated law section and</w:t>
      </w:r>
      <w:r w:rsidRPr="00FF3072">
        <w:rPr>
          <w:rFonts w:asciiTheme="minorHAnsi" w:hAnsiTheme="minorHAnsi" w:cstheme="minorHAnsi"/>
          <w:szCs w:val="22"/>
        </w:rPr>
        <w:t xml:space="preserve"> online legal research tools including Justice One, Westlaw, Hein Online.</w:t>
      </w:r>
    </w:p>
    <w:p w14:paraId="61F68A71" w14:textId="77777777" w:rsidR="00B478A2" w:rsidRDefault="00B478A2" w:rsidP="00B478A2">
      <w:pPr>
        <w:suppressAutoHyphens w:val="0"/>
        <w:spacing w:line="259" w:lineRule="auto"/>
        <w:rPr>
          <w:rFonts w:asciiTheme="minorHAnsi" w:hAnsiTheme="minorHAnsi" w:cstheme="minorHAnsi"/>
          <w:szCs w:val="22"/>
        </w:rPr>
      </w:pPr>
    </w:p>
    <w:p w14:paraId="4A2A0C88" w14:textId="77777777" w:rsidR="00B478A2" w:rsidRPr="0012104C" w:rsidRDefault="00B478A2" w:rsidP="00B478A2">
      <w:pPr>
        <w:pStyle w:val="Heading3"/>
      </w:pPr>
      <w:r w:rsidRPr="0012104C">
        <w:t>Reading lists and other information resources</w:t>
      </w:r>
    </w:p>
    <w:p w14:paraId="4A2FA46F" w14:textId="77777777" w:rsidR="00B478A2" w:rsidRPr="00FF3072" w:rsidRDefault="00B478A2" w:rsidP="00B478A2">
      <w:pPr>
        <w:rPr>
          <w:rFonts w:asciiTheme="minorHAnsi" w:hAnsiTheme="minorHAnsi" w:cstheme="minorHAnsi"/>
          <w:b/>
          <w:color w:val="000000" w:themeColor="text1"/>
          <w:szCs w:val="22"/>
        </w:rPr>
      </w:pPr>
    </w:p>
    <w:p w14:paraId="20C406CD" w14:textId="77777777" w:rsidR="00B478A2" w:rsidRPr="0012104C" w:rsidRDefault="00B478A2" w:rsidP="00B478A2">
      <w:pPr>
        <w:rPr>
          <w:rFonts w:asciiTheme="minorHAnsi" w:hAnsiTheme="minorHAnsi" w:cstheme="minorHAnsi"/>
          <w:b/>
          <w:color w:val="000000" w:themeColor="text1"/>
          <w:szCs w:val="22"/>
        </w:rPr>
      </w:pPr>
      <w:r>
        <w:rPr>
          <w:rFonts w:asciiTheme="minorHAnsi" w:hAnsiTheme="minorHAnsi" w:cstheme="minorHAnsi"/>
          <w:b/>
          <w:color w:val="000000" w:themeColor="text1"/>
          <w:szCs w:val="22"/>
        </w:rPr>
        <w:t>Primary reading</w:t>
      </w:r>
    </w:p>
    <w:p w14:paraId="1B459D19" w14:textId="77777777" w:rsidR="00B478A2" w:rsidRPr="00DB5C71" w:rsidRDefault="00B478A2" w:rsidP="00B478A2">
      <w:pPr>
        <w:suppressAutoHyphens w:val="0"/>
        <w:ind w:left="360" w:right="521" w:hanging="360"/>
        <w:rPr>
          <w:rFonts w:asciiTheme="minorHAnsi" w:hAnsiTheme="minorHAnsi" w:cstheme="minorHAnsi"/>
          <w:szCs w:val="22"/>
        </w:rPr>
      </w:pPr>
      <w:r w:rsidRPr="00DB5C71">
        <w:rPr>
          <w:rFonts w:asciiTheme="minorHAnsi" w:hAnsiTheme="minorHAnsi" w:cstheme="minorHAnsi"/>
          <w:szCs w:val="22"/>
        </w:rPr>
        <w:t xml:space="preserve">Byrne &amp; McCutcheon, </w:t>
      </w:r>
      <w:r w:rsidRPr="00DB5C71">
        <w:rPr>
          <w:rFonts w:asciiTheme="minorHAnsi" w:hAnsiTheme="minorHAnsi" w:cstheme="minorHAnsi"/>
          <w:i/>
          <w:szCs w:val="22"/>
        </w:rPr>
        <w:t>The Irish Legal System</w:t>
      </w:r>
      <w:r w:rsidRPr="00DB5C71">
        <w:rPr>
          <w:rFonts w:asciiTheme="minorHAnsi" w:hAnsiTheme="minorHAnsi" w:cstheme="minorHAnsi"/>
          <w:szCs w:val="22"/>
        </w:rPr>
        <w:t xml:space="preserve"> (20</w:t>
      </w:r>
      <w:r>
        <w:rPr>
          <w:rFonts w:asciiTheme="minorHAnsi" w:hAnsiTheme="minorHAnsi" w:cstheme="minorHAnsi"/>
          <w:szCs w:val="22"/>
        </w:rPr>
        <w:t>20</w:t>
      </w:r>
      <w:r w:rsidRPr="00DB5C71">
        <w:rPr>
          <w:rFonts w:asciiTheme="minorHAnsi" w:hAnsiTheme="minorHAnsi" w:cstheme="minorHAnsi"/>
          <w:szCs w:val="22"/>
        </w:rPr>
        <w:t xml:space="preserve">, Dublin; Bloomsbury Professional) </w:t>
      </w:r>
    </w:p>
    <w:p w14:paraId="58A88B84" w14:textId="77777777" w:rsidR="00B478A2" w:rsidRPr="00DB5C71" w:rsidRDefault="00B478A2" w:rsidP="00B478A2">
      <w:pPr>
        <w:suppressAutoHyphens w:val="0"/>
        <w:ind w:left="360" w:right="521" w:hanging="360"/>
        <w:rPr>
          <w:rFonts w:asciiTheme="minorHAnsi" w:hAnsiTheme="minorHAnsi" w:cstheme="minorHAnsi"/>
          <w:szCs w:val="22"/>
        </w:rPr>
      </w:pPr>
      <w:r w:rsidRPr="00DB5C71">
        <w:rPr>
          <w:rFonts w:asciiTheme="minorHAnsi" w:hAnsiTheme="minorHAnsi" w:cstheme="minorHAnsi"/>
          <w:szCs w:val="22"/>
        </w:rPr>
        <w:t xml:space="preserve">Doolin, </w:t>
      </w:r>
      <w:r w:rsidRPr="00DB5C71">
        <w:rPr>
          <w:rFonts w:asciiTheme="minorHAnsi" w:hAnsiTheme="minorHAnsi" w:cstheme="minorHAnsi"/>
          <w:i/>
          <w:szCs w:val="22"/>
        </w:rPr>
        <w:t>Principles of Irish Law</w:t>
      </w:r>
      <w:r w:rsidRPr="00DB5C71">
        <w:rPr>
          <w:rFonts w:asciiTheme="minorHAnsi" w:hAnsiTheme="minorHAnsi" w:cstheme="minorHAnsi"/>
          <w:szCs w:val="22"/>
        </w:rPr>
        <w:t xml:space="preserve"> (2011, Dublin; Gill and MacMillan)</w:t>
      </w:r>
    </w:p>
    <w:p w14:paraId="54FD3313" w14:textId="77777777" w:rsidR="00B478A2" w:rsidRPr="00DB5C71" w:rsidRDefault="00B478A2" w:rsidP="00B478A2">
      <w:pPr>
        <w:suppressAutoHyphens w:val="0"/>
        <w:ind w:left="360" w:right="521" w:hanging="360"/>
        <w:rPr>
          <w:rFonts w:asciiTheme="minorHAnsi" w:hAnsiTheme="minorHAnsi" w:cstheme="minorHAnsi"/>
          <w:i/>
          <w:szCs w:val="22"/>
        </w:rPr>
      </w:pPr>
      <w:proofErr w:type="spellStart"/>
      <w:r w:rsidRPr="00DB5C71">
        <w:rPr>
          <w:rFonts w:asciiTheme="minorHAnsi" w:hAnsiTheme="minorHAnsi" w:cstheme="minorHAnsi"/>
          <w:szCs w:val="22"/>
        </w:rPr>
        <w:t>Dernbach</w:t>
      </w:r>
      <w:proofErr w:type="spellEnd"/>
      <w:r w:rsidRPr="00DB5C71">
        <w:rPr>
          <w:rFonts w:asciiTheme="minorHAnsi" w:hAnsiTheme="minorHAnsi" w:cstheme="minorHAnsi"/>
          <w:szCs w:val="22"/>
        </w:rPr>
        <w:t xml:space="preserve">, Singleton, </w:t>
      </w:r>
      <w:r>
        <w:rPr>
          <w:rFonts w:asciiTheme="minorHAnsi" w:hAnsiTheme="minorHAnsi" w:cstheme="minorHAnsi"/>
          <w:szCs w:val="22"/>
        </w:rPr>
        <w:t xml:space="preserve">Wharton, </w:t>
      </w:r>
      <w:proofErr w:type="spellStart"/>
      <w:r>
        <w:rPr>
          <w:rFonts w:asciiTheme="minorHAnsi" w:hAnsiTheme="minorHAnsi" w:cstheme="minorHAnsi"/>
          <w:szCs w:val="22"/>
        </w:rPr>
        <w:t>Ruhtenberg</w:t>
      </w:r>
      <w:proofErr w:type="spellEnd"/>
      <w:r>
        <w:rPr>
          <w:rFonts w:asciiTheme="minorHAnsi" w:hAnsiTheme="minorHAnsi" w:cstheme="minorHAnsi"/>
          <w:szCs w:val="22"/>
        </w:rPr>
        <w:t>, and Wasson</w:t>
      </w:r>
      <w:r w:rsidRPr="00DB5C71">
        <w:rPr>
          <w:rFonts w:asciiTheme="minorHAnsi" w:hAnsiTheme="minorHAnsi" w:cstheme="minorHAnsi"/>
          <w:szCs w:val="22"/>
        </w:rPr>
        <w:t>,</w:t>
      </w:r>
      <w:r>
        <w:rPr>
          <w:rFonts w:asciiTheme="minorHAnsi" w:hAnsiTheme="minorHAnsi" w:cstheme="minorHAnsi"/>
          <w:szCs w:val="22"/>
        </w:rPr>
        <w:t xml:space="preserve"> </w:t>
      </w:r>
      <w:r w:rsidRPr="00DB5C71">
        <w:rPr>
          <w:rFonts w:asciiTheme="minorHAnsi" w:hAnsiTheme="minorHAnsi" w:cstheme="minorHAnsi"/>
          <w:i/>
          <w:szCs w:val="22"/>
        </w:rPr>
        <w:t>A Practical Guide to Legal</w:t>
      </w:r>
      <w:r>
        <w:rPr>
          <w:rFonts w:asciiTheme="minorHAnsi" w:hAnsiTheme="minorHAnsi" w:cstheme="minorHAnsi"/>
          <w:i/>
          <w:szCs w:val="22"/>
        </w:rPr>
        <w:t xml:space="preserve"> </w:t>
      </w:r>
      <w:r w:rsidRPr="00DB5C71">
        <w:rPr>
          <w:rFonts w:asciiTheme="minorHAnsi" w:hAnsiTheme="minorHAnsi" w:cstheme="minorHAnsi"/>
          <w:i/>
          <w:szCs w:val="22"/>
        </w:rPr>
        <w:t xml:space="preserve">Writing &amp; Legal Method </w:t>
      </w:r>
      <w:r>
        <w:rPr>
          <w:rFonts w:asciiTheme="minorHAnsi" w:hAnsiTheme="minorHAnsi" w:cstheme="minorHAnsi"/>
          <w:szCs w:val="22"/>
        </w:rPr>
        <w:t xml:space="preserve">(2010, New York: </w:t>
      </w:r>
      <w:r w:rsidRPr="00DB5C71">
        <w:rPr>
          <w:rFonts w:asciiTheme="minorHAnsi" w:hAnsiTheme="minorHAnsi" w:cstheme="minorHAnsi"/>
          <w:szCs w:val="22"/>
        </w:rPr>
        <w:t>Aspen Publishers).</w:t>
      </w:r>
      <w:r w:rsidRPr="00DB5C71">
        <w:rPr>
          <w:rFonts w:asciiTheme="minorHAnsi" w:hAnsiTheme="minorHAnsi" w:cstheme="minorHAnsi"/>
          <w:i/>
          <w:szCs w:val="22"/>
        </w:rPr>
        <w:t xml:space="preserve">  </w:t>
      </w:r>
    </w:p>
    <w:p w14:paraId="109D3DDE" w14:textId="77777777" w:rsidR="00B478A2" w:rsidRPr="00DB5C71" w:rsidRDefault="00B478A2" w:rsidP="00B478A2">
      <w:pPr>
        <w:suppressAutoHyphens w:val="0"/>
        <w:ind w:left="360" w:right="521" w:hanging="360"/>
        <w:rPr>
          <w:rFonts w:asciiTheme="minorHAnsi" w:hAnsiTheme="minorHAnsi" w:cstheme="minorHAnsi"/>
          <w:i/>
          <w:szCs w:val="22"/>
        </w:rPr>
      </w:pPr>
      <w:r w:rsidRPr="00DB5C71">
        <w:rPr>
          <w:rFonts w:asciiTheme="minorHAnsi" w:hAnsiTheme="minorHAnsi" w:cstheme="minorHAnsi"/>
          <w:szCs w:val="22"/>
        </w:rPr>
        <w:t xml:space="preserve">Faculty of Law, University of Oxford, </w:t>
      </w:r>
      <w:r w:rsidRPr="00DB5C71">
        <w:rPr>
          <w:rFonts w:asciiTheme="minorHAnsi" w:hAnsiTheme="minorHAnsi" w:cstheme="minorHAnsi"/>
          <w:i/>
          <w:szCs w:val="22"/>
        </w:rPr>
        <w:t xml:space="preserve">OSCOLA 2006: The Oxford Standard for Citation of Legal Authorities. </w:t>
      </w:r>
      <w:r w:rsidRPr="00DB5C71">
        <w:rPr>
          <w:rFonts w:asciiTheme="minorHAnsi" w:hAnsiTheme="minorHAnsi" w:cstheme="minorHAnsi"/>
          <w:szCs w:val="22"/>
        </w:rPr>
        <w:t xml:space="preserve">Online at </w:t>
      </w:r>
      <w:hyperlink r:id="rId7" w:history="1">
        <w:r w:rsidRPr="00DB5C71">
          <w:rPr>
            <w:rStyle w:val="Hyperlink"/>
            <w:rFonts w:asciiTheme="minorHAnsi" w:hAnsiTheme="minorHAnsi" w:cstheme="minorHAnsi"/>
            <w:szCs w:val="22"/>
          </w:rPr>
          <w:t>http://denning.law.ox.ac.uk/published/</w:t>
        </w:r>
      </w:hyperlink>
      <w:r w:rsidRPr="00DB5C71">
        <w:rPr>
          <w:rFonts w:asciiTheme="minorHAnsi" w:hAnsiTheme="minorHAnsi" w:cstheme="minorHAnsi"/>
          <w:szCs w:val="22"/>
        </w:rPr>
        <w:t xml:space="preserve">Oscola_2006.pdf </w:t>
      </w:r>
      <w:r w:rsidRPr="00DB5C71">
        <w:rPr>
          <w:rFonts w:asciiTheme="minorHAnsi" w:hAnsiTheme="minorHAnsi" w:cstheme="minorHAnsi"/>
          <w:i/>
          <w:szCs w:val="22"/>
        </w:rPr>
        <w:t xml:space="preserve"> </w:t>
      </w:r>
    </w:p>
    <w:p w14:paraId="7B5B1894" w14:textId="77777777" w:rsidR="00B478A2" w:rsidRPr="00FF3072" w:rsidRDefault="00B478A2" w:rsidP="00B478A2">
      <w:pPr>
        <w:suppressAutoHyphens w:val="0"/>
        <w:jc w:val="both"/>
        <w:rPr>
          <w:rFonts w:asciiTheme="minorHAnsi" w:hAnsiTheme="minorHAnsi" w:cstheme="minorHAnsi"/>
          <w:i/>
          <w:szCs w:val="22"/>
        </w:rPr>
      </w:pPr>
    </w:p>
    <w:p w14:paraId="70CAE90A" w14:textId="77777777" w:rsidR="00B478A2" w:rsidRPr="0012104C" w:rsidRDefault="00B478A2" w:rsidP="00B478A2">
      <w:pPr>
        <w:suppressAutoHyphens w:val="0"/>
        <w:jc w:val="both"/>
        <w:rPr>
          <w:rFonts w:asciiTheme="minorHAnsi" w:hAnsiTheme="minorHAnsi" w:cstheme="minorHAnsi"/>
          <w:b/>
          <w:bCs/>
          <w:szCs w:val="22"/>
        </w:rPr>
      </w:pPr>
      <w:r w:rsidRPr="0012104C">
        <w:rPr>
          <w:rFonts w:asciiTheme="minorHAnsi" w:hAnsiTheme="minorHAnsi" w:cstheme="minorHAnsi"/>
          <w:b/>
          <w:bCs/>
          <w:szCs w:val="22"/>
        </w:rPr>
        <w:t>Secondary reading</w:t>
      </w:r>
    </w:p>
    <w:p w14:paraId="335B0777" w14:textId="77777777" w:rsidR="00B478A2" w:rsidRPr="00FF3072" w:rsidRDefault="00B478A2" w:rsidP="00B478A2">
      <w:pPr>
        <w:suppressAutoHyphens w:val="0"/>
        <w:ind w:left="360" w:right="521" w:hanging="360"/>
        <w:rPr>
          <w:rFonts w:asciiTheme="minorHAnsi" w:hAnsiTheme="minorHAnsi" w:cstheme="minorHAnsi"/>
          <w:szCs w:val="22"/>
        </w:rPr>
      </w:pPr>
      <w:r w:rsidRPr="00FF3072">
        <w:rPr>
          <w:rFonts w:asciiTheme="minorHAnsi" w:hAnsiTheme="minorHAnsi" w:cstheme="minorHAnsi"/>
          <w:szCs w:val="22"/>
        </w:rPr>
        <w:t>Kenneally, &amp; Tully,</w:t>
      </w:r>
      <w:r>
        <w:rPr>
          <w:rFonts w:asciiTheme="minorHAnsi" w:hAnsiTheme="minorHAnsi" w:cstheme="minorHAnsi"/>
          <w:szCs w:val="22"/>
        </w:rPr>
        <w:t xml:space="preserve"> </w:t>
      </w:r>
      <w:r w:rsidRPr="00DB5C71">
        <w:rPr>
          <w:rFonts w:asciiTheme="minorHAnsi" w:hAnsiTheme="minorHAnsi" w:cstheme="minorHAnsi"/>
          <w:szCs w:val="22"/>
        </w:rPr>
        <w:t>The Irish Legal System</w:t>
      </w:r>
      <w:r w:rsidRPr="00FF3072">
        <w:rPr>
          <w:rFonts w:asciiTheme="minorHAnsi" w:hAnsiTheme="minorHAnsi" w:cstheme="minorHAnsi"/>
          <w:szCs w:val="22"/>
        </w:rPr>
        <w:t xml:space="preserve"> (2013, Dublin; Clarus Press</w:t>
      </w:r>
    </w:p>
    <w:p w14:paraId="463A2A2F" w14:textId="77777777" w:rsidR="00B478A2" w:rsidRPr="00FF3072" w:rsidRDefault="00B478A2" w:rsidP="00B478A2">
      <w:pPr>
        <w:suppressAutoHyphens w:val="0"/>
        <w:ind w:left="360" w:right="521" w:hanging="360"/>
        <w:rPr>
          <w:rFonts w:asciiTheme="minorHAnsi" w:hAnsiTheme="minorHAnsi" w:cstheme="minorHAnsi"/>
          <w:szCs w:val="22"/>
        </w:rPr>
      </w:pPr>
      <w:r w:rsidRPr="00FF3072">
        <w:rPr>
          <w:rFonts w:asciiTheme="minorHAnsi" w:hAnsiTheme="minorHAnsi" w:cstheme="minorHAnsi"/>
          <w:szCs w:val="22"/>
        </w:rPr>
        <w:t xml:space="preserve">O’Malley, </w:t>
      </w:r>
      <w:r w:rsidRPr="00DB5C71">
        <w:rPr>
          <w:rFonts w:asciiTheme="minorHAnsi" w:hAnsiTheme="minorHAnsi" w:cstheme="minorHAnsi"/>
          <w:szCs w:val="22"/>
        </w:rPr>
        <w:t>Sources of Law: An introduction to Legal Research and Writing</w:t>
      </w:r>
      <w:r w:rsidRPr="00FF3072">
        <w:rPr>
          <w:rFonts w:asciiTheme="minorHAnsi" w:hAnsiTheme="minorHAnsi" w:cstheme="minorHAnsi"/>
          <w:szCs w:val="22"/>
        </w:rPr>
        <w:t xml:space="preserve"> (2001,</w:t>
      </w:r>
      <w:r>
        <w:rPr>
          <w:rFonts w:asciiTheme="minorHAnsi" w:hAnsiTheme="minorHAnsi" w:cstheme="minorHAnsi"/>
          <w:szCs w:val="22"/>
        </w:rPr>
        <w:t xml:space="preserve"> </w:t>
      </w:r>
      <w:r w:rsidRPr="00FF3072">
        <w:rPr>
          <w:rFonts w:asciiTheme="minorHAnsi" w:hAnsiTheme="minorHAnsi" w:cstheme="minorHAnsi"/>
          <w:szCs w:val="22"/>
        </w:rPr>
        <w:t>Dublin; Round Hall Sweet &amp; Maxwell)</w:t>
      </w:r>
    </w:p>
    <w:p w14:paraId="407131A1" w14:textId="77777777" w:rsidR="00B478A2" w:rsidRPr="00FF3072" w:rsidRDefault="00B478A2" w:rsidP="00B478A2">
      <w:pPr>
        <w:suppressAutoHyphens w:val="0"/>
        <w:ind w:left="360" w:right="521" w:hanging="360"/>
        <w:rPr>
          <w:rFonts w:asciiTheme="minorHAnsi" w:hAnsiTheme="minorHAnsi" w:cstheme="minorHAnsi"/>
          <w:szCs w:val="22"/>
        </w:rPr>
      </w:pPr>
      <w:r w:rsidRPr="00FF3072">
        <w:rPr>
          <w:rFonts w:asciiTheme="minorHAnsi" w:hAnsiTheme="minorHAnsi" w:cstheme="minorHAnsi"/>
          <w:szCs w:val="22"/>
        </w:rPr>
        <w:t>Schweppe, Kennedy, &amp; Fahy,</w:t>
      </w:r>
      <w:r>
        <w:rPr>
          <w:rFonts w:asciiTheme="minorHAnsi" w:hAnsiTheme="minorHAnsi" w:cstheme="minorHAnsi"/>
          <w:szCs w:val="22"/>
        </w:rPr>
        <w:t xml:space="preserve"> </w:t>
      </w:r>
      <w:r w:rsidRPr="00DB5C71">
        <w:rPr>
          <w:rFonts w:asciiTheme="minorHAnsi" w:hAnsiTheme="minorHAnsi" w:cstheme="minorHAnsi"/>
          <w:szCs w:val="22"/>
        </w:rPr>
        <w:t>How to Think, Write and Cite: Key Skills for Irish Law Learners</w:t>
      </w:r>
      <w:r w:rsidRPr="00FF3072">
        <w:rPr>
          <w:rFonts w:asciiTheme="minorHAnsi" w:hAnsiTheme="minorHAnsi" w:cstheme="minorHAnsi"/>
          <w:szCs w:val="22"/>
        </w:rPr>
        <w:t xml:space="preserve"> (2012, Dublin; </w:t>
      </w:r>
      <w:proofErr w:type="spellStart"/>
      <w:r w:rsidRPr="00FF3072">
        <w:rPr>
          <w:rFonts w:asciiTheme="minorHAnsi" w:hAnsiTheme="minorHAnsi" w:cstheme="minorHAnsi"/>
          <w:szCs w:val="22"/>
        </w:rPr>
        <w:t>Roundhall</w:t>
      </w:r>
      <w:proofErr w:type="spellEnd"/>
      <w:r w:rsidRPr="00FF3072">
        <w:rPr>
          <w:rFonts w:asciiTheme="minorHAnsi" w:hAnsiTheme="minorHAnsi" w:cstheme="minorHAnsi"/>
          <w:szCs w:val="22"/>
        </w:rPr>
        <w:t>)</w:t>
      </w:r>
    </w:p>
    <w:p w14:paraId="5189BE2F" w14:textId="77777777" w:rsidR="00B478A2" w:rsidRPr="00FF3072" w:rsidRDefault="00B478A2" w:rsidP="00B478A2">
      <w:pPr>
        <w:rPr>
          <w:rFonts w:asciiTheme="minorHAnsi" w:hAnsiTheme="minorHAnsi" w:cstheme="minorHAnsi"/>
          <w:color w:val="000000" w:themeColor="text1"/>
          <w:szCs w:val="22"/>
        </w:rPr>
      </w:pPr>
    </w:p>
    <w:p w14:paraId="2C5202F7" w14:textId="77777777" w:rsidR="00B478A2" w:rsidRPr="0012104C" w:rsidRDefault="00B478A2" w:rsidP="00B478A2">
      <w:pPr>
        <w:pStyle w:val="Heading3"/>
      </w:pPr>
      <w:r w:rsidRPr="0012104C">
        <w:t>Specifications for module staffing requirements</w:t>
      </w:r>
    </w:p>
    <w:p w14:paraId="61489B2A" w14:textId="77777777" w:rsidR="00B478A2" w:rsidRPr="00A1035B" w:rsidRDefault="00B478A2" w:rsidP="00B478A2">
      <w:pPr>
        <w:jc w:val="both"/>
        <w:rPr>
          <w:rFonts w:asciiTheme="minorHAnsi" w:hAnsiTheme="minorHAnsi" w:cstheme="minorHAnsi"/>
          <w:szCs w:val="22"/>
        </w:rPr>
      </w:pPr>
      <w:r w:rsidRPr="00A1035B">
        <w:rPr>
          <w:rFonts w:asciiTheme="minorHAnsi" w:hAnsiTheme="minorHAnsi" w:cstheme="minorHAnsi"/>
          <w:szCs w:val="22"/>
        </w:rPr>
        <w:t>Lecturers expected to hold at minimum a Level 8 legal qualification, preferably with a professional legal qualification. It is an advantage to have completed the Certi</w:t>
      </w:r>
      <w:r>
        <w:rPr>
          <w:rFonts w:asciiTheme="minorHAnsi" w:hAnsiTheme="minorHAnsi" w:cstheme="minorHAnsi"/>
          <w:szCs w:val="22"/>
        </w:rPr>
        <w:t>ficate in Education, Learning and Development</w:t>
      </w:r>
      <w:r w:rsidRPr="00A1035B">
        <w:rPr>
          <w:rFonts w:asciiTheme="minorHAnsi" w:hAnsiTheme="minorHAnsi" w:cstheme="minorHAnsi"/>
          <w:szCs w:val="22"/>
        </w:rPr>
        <w:t xml:space="preserve"> provided by Griffith College. Industry experience is beneficial but not a requirement.</w:t>
      </w:r>
    </w:p>
    <w:p w14:paraId="39758781" w14:textId="77777777" w:rsidR="00B478A2" w:rsidRPr="00FF3072" w:rsidRDefault="00B478A2" w:rsidP="00B478A2">
      <w:pPr>
        <w:rPr>
          <w:rFonts w:asciiTheme="minorHAnsi" w:hAnsiTheme="minorHAnsi" w:cstheme="minorHAnsi"/>
          <w:szCs w:val="22"/>
        </w:rPr>
      </w:pPr>
    </w:p>
    <w:p w14:paraId="6CDC3342" w14:textId="77777777" w:rsidR="00B478A2" w:rsidRPr="00A1035B" w:rsidRDefault="00B478A2" w:rsidP="00B478A2">
      <w:pPr>
        <w:pStyle w:val="Heading3"/>
      </w:pPr>
      <w:r w:rsidRPr="00A1035B">
        <w:t xml:space="preserve">Module summative assessment strategy </w:t>
      </w:r>
    </w:p>
    <w:p w14:paraId="56A74B2F" w14:textId="77777777" w:rsidR="00B478A2" w:rsidRPr="00FF3072" w:rsidRDefault="00B478A2" w:rsidP="00B478A2">
      <w:pPr>
        <w:jc w:val="both"/>
        <w:rPr>
          <w:rFonts w:asciiTheme="minorHAnsi" w:hAnsiTheme="minorHAnsi" w:cstheme="minorHAnsi"/>
          <w:szCs w:val="22"/>
        </w:rPr>
      </w:pPr>
      <w:r w:rsidRPr="00FF3072">
        <w:rPr>
          <w:rFonts w:asciiTheme="minorHAnsi" w:hAnsiTheme="minorHAnsi" w:cstheme="minorHAnsi"/>
          <w:szCs w:val="22"/>
        </w:rPr>
        <w:t xml:space="preserve">Theoretical knowledge </w:t>
      </w:r>
      <w:r>
        <w:rPr>
          <w:rFonts w:asciiTheme="minorHAnsi" w:hAnsiTheme="minorHAnsi" w:cstheme="minorHAnsi"/>
          <w:szCs w:val="22"/>
        </w:rPr>
        <w:t>is</w:t>
      </w:r>
      <w:r w:rsidRPr="00FF3072">
        <w:rPr>
          <w:rFonts w:asciiTheme="minorHAnsi" w:hAnsiTheme="minorHAnsi" w:cstheme="minorHAnsi"/>
          <w:szCs w:val="22"/>
        </w:rPr>
        <w:t xml:space="preserve"> assessed at the end of the module by examination (worth 50% of overall grade), the purpose of which is to enable learners to become accustomed to undertaking extended examinations which are a traditional method of assessment commonly used in law-based degrees on the </w:t>
      </w:r>
      <w:r>
        <w:rPr>
          <w:rFonts w:asciiTheme="minorHAnsi" w:hAnsiTheme="minorHAnsi" w:cstheme="minorHAnsi"/>
          <w:szCs w:val="22"/>
        </w:rPr>
        <w:t xml:space="preserve">NFQ </w:t>
      </w:r>
      <w:r w:rsidRPr="00FF3072">
        <w:rPr>
          <w:rFonts w:asciiTheme="minorHAnsi" w:hAnsiTheme="minorHAnsi" w:cstheme="minorHAnsi"/>
          <w:szCs w:val="22"/>
        </w:rPr>
        <w:t xml:space="preserve">and in the sphere of professional legal training. </w:t>
      </w:r>
    </w:p>
    <w:p w14:paraId="6AFC2C9A" w14:textId="77777777" w:rsidR="00B478A2" w:rsidRDefault="00B478A2" w:rsidP="00B478A2">
      <w:pPr>
        <w:jc w:val="both"/>
        <w:rPr>
          <w:rFonts w:asciiTheme="minorHAnsi" w:hAnsiTheme="minorHAnsi" w:cstheme="minorHAnsi"/>
          <w:szCs w:val="22"/>
        </w:rPr>
      </w:pPr>
    </w:p>
    <w:p w14:paraId="67480AAD" w14:textId="77777777" w:rsidR="00B478A2" w:rsidRDefault="00B478A2" w:rsidP="00B478A2">
      <w:pPr>
        <w:jc w:val="both"/>
        <w:rPr>
          <w:rFonts w:asciiTheme="minorHAnsi" w:hAnsiTheme="minorHAnsi" w:cstheme="minorHAnsi"/>
          <w:szCs w:val="22"/>
        </w:rPr>
      </w:pPr>
      <w:r>
        <w:rPr>
          <w:rFonts w:asciiTheme="minorHAnsi" w:hAnsiTheme="minorHAnsi" w:cstheme="minorHAnsi"/>
          <w:szCs w:val="22"/>
        </w:rPr>
        <w:lastRenderedPageBreak/>
        <w:t xml:space="preserve">The examination </w:t>
      </w:r>
      <w:r w:rsidRPr="00FF3072">
        <w:rPr>
          <w:rFonts w:asciiTheme="minorHAnsi" w:hAnsiTheme="minorHAnsi" w:cstheme="minorHAnsi"/>
          <w:szCs w:val="22"/>
        </w:rPr>
        <w:t>consist</w:t>
      </w:r>
      <w:r>
        <w:rPr>
          <w:rFonts w:asciiTheme="minorHAnsi" w:hAnsiTheme="minorHAnsi" w:cstheme="minorHAnsi"/>
          <w:szCs w:val="22"/>
        </w:rPr>
        <w:t>s of a mixture of essay-style questions and problem-style questions. The former</w:t>
      </w:r>
      <w:r w:rsidRPr="00FF3072">
        <w:rPr>
          <w:rFonts w:asciiTheme="minorHAnsi" w:hAnsiTheme="minorHAnsi" w:cstheme="minorHAnsi"/>
          <w:szCs w:val="22"/>
        </w:rPr>
        <w:t xml:space="preserve"> emphasis</w:t>
      </w:r>
      <w:r>
        <w:rPr>
          <w:rFonts w:asciiTheme="minorHAnsi" w:hAnsiTheme="minorHAnsi" w:cstheme="minorHAnsi"/>
          <w:szCs w:val="22"/>
        </w:rPr>
        <w:t xml:space="preserve">es </w:t>
      </w:r>
      <w:r w:rsidRPr="00FF3072">
        <w:rPr>
          <w:rFonts w:asciiTheme="minorHAnsi" w:hAnsiTheme="minorHAnsi" w:cstheme="minorHAnsi"/>
          <w:szCs w:val="22"/>
        </w:rPr>
        <w:t xml:space="preserve">the demonstration of effective academic writing and an analysis of key </w:t>
      </w:r>
      <w:r>
        <w:rPr>
          <w:rFonts w:asciiTheme="minorHAnsi" w:hAnsiTheme="minorHAnsi" w:cstheme="minorHAnsi"/>
          <w:szCs w:val="22"/>
        </w:rPr>
        <w:t>concepts or topics on the programme. Problem-</w:t>
      </w:r>
      <w:r w:rsidRPr="00FF3072">
        <w:rPr>
          <w:rFonts w:asciiTheme="minorHAnsi" w:hAnsiTheme="minorHAnsi" w:cstheme="minorHAnsi"/>
          <w:szCs w:val="22"/>
        </w:rPr>
        <w:t>style questions are aimed at assessing the learner’s ability to apply the law to practical, factual scenarios.</w:t>
      </w:r>
    </w:p>
    <w:p w14:paraId="51CE7D11" w14:textId="77777777" w:rsidR="00B478A2" w:rsidRPr="00FF3072" w:rsidRDefault="00B478A2" w:rsidP="00B478A2">
      <w:pPr>
        <w:jc w:val="both"/>
        <w:rPr>
          <w:rFonts w:asciiTheme="minorHAnsi" w:hAnsiTheme="minorHAnsi" w:cstheme="minorHAnsi"/>
          <w:szCs w:val="22"/>
        </w:rPr>
      </w:pPr>
      <w:r w:rsidRPr="00FF3072">
        <w:rPr>
          <w:rFonts w:asciiTheme="minorHAnsi" w:hAnsiTheme="minorHAnsi" w:cstheme="minorHAnsi"/>
          <w:szCs w:val="22"/>
        </w:rPr>
        <w:t xml:space="preserve"> </w:t>
      </w:r>
    </w:p>
    <w:p w14:paraId="79A0D66E" w14:textId="77777777" w:rsidR="00B478A2" w:rsidRPr="00A1035B" w:rsidRDefault="00B478A2" w:rsidP="00B478A2">
      <w:pPr>
        <w:jc w:val="both"/>
        <w:rPr>
          <w:rFonts w:asciiTheme="minorHAnsi" w:hAnsiTheme="minorHAnsi" w:cstheme="minorHAnsi"/>
          <w:szCs w:val="22"/>
        </w:rPr>
      </w:pPr>
      <w:r>
        <w:rPr>
          <w:rFonts w:asciiTheme="minorHAnsi" w:hAnsiTheme="minorHAnsi" w:cstheme="minorHAnsi"/>
          <w:szCs w:val="22"/>
        </w:rPr>
        <w:t>The examination is</w:t>
      </w:r>
      <w:r w:rsidRPr="00FF3072">
        <w:rPr>
          <w:rFonts w:asciiTheme="minorHAnsi" w:hAnsiTheme="minorHAnsi" w:cstheme="minorHAnsi"/>
          <w:szCs w:val="22"/>
        </w:rPr>
        <w:t xml:space="preserve"> s</w:t>
      </w:r>
      <w:r>
        <w:rPr>
          <w:rFonts w:asciiTheme="minorHAnsi" w:hAnsiTheme="minorHAnsi" w:cstheme="minorHAnsi"/>
          <w:szCs w:val="22"/>
        </w:rPr>
        <w:t>upplemented by a Case Brief (20% of overall grade)</w:t>
      </w:r>
      <w:r w:rsidRPr="00FF3072">
        <w:rPr>
          <w:rFonts w:asciiTheme="minorHAnsi" w:hAnsiTheme="minorHAnsi" w:cstheme="minorHAnsi"/>
          <w:szCs w:val="22"/>
        </w:rPr>
        <w:t xml:space="preserve"> and </w:t>
      </w:r>
      <w:r>
        <w:rPr>
          <w:rFonts w:asciiTheme="minorHAnsi" w:hAnsiTheme="minorHAnsi" w:cstheme="minorHAnsi"/>
          <w:szCs w:val="22"/>
        </w:rPr>
        <w:t>Research Record (30% of overall grade</w:t>
      </w:r>
      <w:r w:rsidRPr="00FF3072">
        <w:rPr>
          <w:rFonts w:asciiTheme="minorHAnsi" w:hAnsiTheme="minorHAnsi" w:cstheme="minorHAnsi"/>
          <w:szCs w:val="22"/>
        </w:rPr>
        <w:t>). Both assessment components are aim</w:t>
      </w:r>
      <w:r>
        <w:rPr>
          <w:rFonts w:asciiTheme="minorHAnsi" w:hAnsiTheme="minorHAnsi" w:cstheme="minorHAnsi"/>
          <w:szCs w:val="22"/>
        </w:rPr>
        <w:t>ed at enabling learners to u</w:t>
      </w:r>
      <w:r w:rsidRPr="00FF3072">
        <w:rPr>
          <w:rFonts w:asciiTheme="minorHAnsi" w:hAnsiTheme="minorHAnsi" w:cstheme="minorHAnsi"/>
          <w:szCs w:val="22"/>
        </w:rPr>
        <w:t>se the legal research and academic writing skills taught in class</w:t>
      </w:r>
      <w:r>
        <w:rPr>
          <w:rFonts w:asciiTheme="minorHAnsi" w:hAnsiTheme="minorHAnsi" w:cstheme="minorHAnsi"/>
          <w:szCs w:val="22"/>
        </w:rPr>
        <w:t xml:space="preserve"> </w:t>
      </w:r>
      <w:r w:rsidRPr="00FF3072">
        <w:rPr>
          <w:rFonts w:asciiTheme="minorHAnsi" w:hAnsiTheme="minorHAnsi" w:cstheme="minorHAnsi"/>
          <w:szCs w:val="22"/>
        </w:rPr>
        <w:t>and to apply same in a pr</w:t>
      </w:r>
      <w:r>
        <w:rPr>
          <w:rFonts w:asciiTheme="minorHAnsi" w:hAnsiTheme="minorHAnsi" w:cstheme="minorHAnsi"/>
          <w:szCs w:val="22"/>
        </w:rPr>
        <w:t xml:space="preserve">actical way. </w:t>
      </w:r>
      <w:r w:rsidRPr="00A1035B">
        <w:rPr>
          <w:rFonts w:asciiTheme="minorHAnsi" w:hAnsiTheme="minorHAnsi" w:cstheme="minorHAnsi"/>
          <w:szCs w:val="22"/>
        </w:rPr>
        <w:t>The follow</w:t>
      </w:r>
      <w:r>
        <w:rPr>
          <w:rFonts w:asciiTheme="minorHAnsi" w:hAnsiTheme="minorHAnsi" w:cstheme="minorHAnsi"/>
          <w:szCs w:val="22"/>
        </w:rPr>
        <w:t>ing table indicates the module</w:t>
      </w:r>
      <w:r w:rsidRPr="00A1035B">
        <w:rPr>
          <w:rFonts w:asciiTheme="minorHAnsi" w:hAnsiTheme="minorHAnsi" w:cstheme="minorHAnsi"/>
          <w:szCs w:val="22"/>
        </w:rPr>
        <w:t xml:space="preserve"> learning outcomes’ alignment with the assessment used for the module: </w:t>
      </w:r>
    </w:p>
    <w:p w14:paraId="2A4F3153" w14:textId="77777777" w:rsidR="00B478A2" w:rsidRPr="00FF3072" w:rsidRDefault="00B478A2" w:rsidP="00B478A2">
      <w:pPr>
        <w:rPr>
          <w:rFonts w:asciiTheme="minorHAnsi" w:hAnsiTheme="minorHAnsi" w:cstheme="minorHAnsi"/>
          <w:color w:val="000000" w:themeColor="text1"/>
          <w:szCs w:val="22"/>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103"/>
        <w:gridCol w:w="1773"/>
        <w:gridCol w:w="1295"/>
      </w:tblGrid>
      <w:tr w:rsidR="00B478A2" w:rsidRPr="00FF3072" w14:paraId="1178862C" w14:textId="77777777" w:rsidTr="00B54421">
        <w:tc>
          <w:tcPr>
            <w:tcW w:w="846" w:type="dxa"/>
            <w:shd w:val="clear" w:color="auto" w:fill="D9E2F3" w:themeFill="accent1" w:themeFillTint="33"/>
            <w:vAlign w:val="center"/>
          </w:tcPr>
          <w:p w14:paraId="3B23FE44" w14:textId="77777777" w:rsidR="00B478A2" w:rsidRPr="00FF3072" w:rsidRDefault="00B478A2" w:rsidP="00B54421">
            <w:pPr>
              <w:pStyle w:val="AAValidation"/>
              <w:spacing w:line="240" w:lineRule="auto"/>
              <w:jc w:val="center"/>
              <w:rPr>
                <w:rFonts w:eastAsiaTheme="minorHAnsi" w:cstheme="minorHAnsi"/>
                <w:b/>
                <w:color w:val="000000" w:themeColor="text1"/>
                <w:szCs w:val="22"/>
                <w:lang w:val="en-IE"/>
              </w:rPr>
            </w:pPr>
            <w:r w:rsidRPr="00FF3072">
              <w:rPr>
                <w:rFonts w:eastAsiaTheme="minorHAnsi" w:cstheme="minorHAnsi"/>
                <w:b/>
                <w:color w:val="000000" w:themeColor="text1"/>
                <w:szCs w:val="22"/>
                <w:lang w:val="en-IE"/>
              </w:rPr>
              <w:t>No.</w:t>
            </w:r>
          </w:p>
        </w:tc>
        <w:tc>
          <w:tcPr>
            <w:tcW w:w="5103" w:type="dxa"/>
            <w:shd w:val="clear" w:color="auto" w:fill="D9E2F3" w:themeFill="accent1" w:themeFillTint="33"/>
            <w:vAlign w:val="center"/>
          </w:tcPr>
          <w:p w14:paraId="6EDE4A9F" w14:textId="77777777" w:rsidR="00B478A2" w:rsidRPr="00FF3072" w:rsidRDefault="00B478A2" w:rsidP="00B54421">
            <w:pPr>
              <w:pStyle w:val="AAValidation"/>
              <w:spacing w:line="240" w:lineRule="auto"/>
              <w:jc w:val="left"/>
              <w:rPr>
                <w:rFonts w:eastAsiaTheme="minorHAnsi" w:cstheme="minorHAnsi"/>
                <w:b/>
                <w:color w:val="000000" w:themeColor="text1"/>
                <w:szCs w:val="22"/>
                <w:lang w:val="en-IE"/>
              </w:rPr>
            </w:pPr>
            <w:r w:rsidRPr="00FF3072">
              <w:rPr>
                <w:rFonts w:eastAsiaTheme="minorHAnsi" w:cstheme="minorHAnsi"/>
                <w:b/>
                <w:color w:val="000000" w:themeColor="text1"/>
                <w:szCs w:val="22"/>
                <w:lang w:val="en-IE"/>
              </w:rPr>
              <w:t>Description</w:t>
            </w:r>
          </w:p>
        </w:tc>
        <w:tc>
          <w:tcPr>
            <w:tcW w:w="1773" w:type="dxa"/>
            <w:shd w:val="clear" w:color="auto" w:fill="D9E2F3" w:themeFill="accent1" w:themeFillTint="33"/>
            <w:vAlign w:val="center"/>
          </w:tcPr>
          <w:p w14:paraId="60E1A062" w14:textId="77777777" w:rsidR="00B478A2" w:rsidRPr="00FF3072" w:rsidRDefault="00B478A2" w:rsidP="00B54421">
            <w:pPr>
              <w:pStyle w:val="AAValidation"/>
              <w:spacing w:line="240" w:lineRule="auto"/>
              <w:jc w:val="left"/>
              <w:rPr>
                <w:rFonts w:eastAsiaTheme="minorHAnsi" w:cstheme="minorHAnsi"/>
                <w:b/>
                <w:color w:val="000000" w:themeColor="text1"/>
                <w:szCs w:val="22"/>
                <w:lang w:val="en-IE"/>
              </w:rPr>
            </w:pPr>
            <w:r w:rsidRPr="00FF3072">
              <w:rPr>
                <w:rFonts w:eastAsiaTheme="minorHAnsi" w:cstheme="minorHAnsi"/>
                <w:b/>
                <w:color w:val="000000" w:themeColor="text1"/>
                <w:szCs w:val="22"/>
                <w:lang w:val="en-IE"/>
              </w:rPr>
              <w:t>MIMLOs</w:t>
            </w:r>
          </w:p>
        </w:tc>
        <w:tc>
          <w:tcPr>
            <w:tcW w:w="1295" w:type="dxa"/>
            <w:shd w:val="clear" w:color="auto" w:fill="D9E2F3" w:themeFill="accent1" w:themeFillTint="33"/>
            <w:vAlign w:val="center"/>
          </w:tcPr>
          <w:p w14:paraId="4AD2BBB9" w14:textId="77777777" w:rsidR="00B478A2" w:rsidRPr="00FF3072" w:rsidRDefault="00B478A2" w:rsidP="00B54421">
            <w:pPr>
              <w:pStyle w:val="AAValidation"/>
              <w:spacing w:line="240" w:lineRule="auto"/>
              <w:jc w:val="center"/>
              <w:rPr>
                <w:rFonts w:eastAsiaTheme="minorHAnsi" w:cstheme="minorHAnsi"/>
                <w:b/>
                <w:color w:val="000000" w:themeColor="text1"/>
                <w:szCs w:val="22"/>
                <w:lang w:val="en-IE"/>
              </w:rPr>
            </w:pPr>
            <w:r w:rsidRPr="00FF3072">
              <w:rPr>
                <w:rFonts w:eastAsiaTheme="minorHAnsi" w:cstheme="minorHAnsi"/>
                <w:b/>
                <w:color w:val="000000" w:themeColor="text1"/>
                <w:szCs w:val="22"/>
                <w:lang w:val="en-IE"/>
              </w:rPr>
              <w:t>Weighting</w:t>
            </w:r>
          </w:p>
        </w:tc>
      </w:tr>
      <w:tr w:rsidR="00B478A2" w:rsidRPr="00FF3072" w14:paraId="079069D8" w14:textId="77777777" w:rsidTr="00B54421">
        <w:tc>
          <w:tcPr>
            <w:tcW w:w="846" w:type="dxa"/>
            <w:vAlign w:val="center"/>
          </w:tcPr>
          <w:p w14:paraId="57BFF0EB" w14:textId="77777777" w:rsidR="00B478A2" w:rsidRPr="00FF3072" w:rsidRDefault="00B478A2" w:rsidP="00B54421">
            <w:pPr>
              <w:pStyle w:val="AAValidation"/>
              <w:spacing w:line="240" w:lineRule="auto"/>
              <w:jc w:val="center"/>
              <w:rPr>
                <w:rFonts w:eastAsiaTheme="minorHAnsi" w:cstheme="minorHAnsi"/>
                <w:color w:val="000000" w:themeColor="text1"/>
                <w:szCs w:val="22"/>
                <w:lang w:val="en-IE"/>
              </w:rPr>
            </w:pPr>
            <w:r w:rsidRPr="00FF3072">
              <w:rPr>
                <w:rFonts w:cstheme="minorHAnsi"/>
                <w:color w:val="000000" w:themeColor="text1"/>
                <w:szCs w:val="22"/>
                <w:lang w:val="en-IE"/>
              </w:rPr>
              <w:t>1</w:t>
            </w:r>
          </w:p>
        </w:tc>
        <w:tc>
          <w:tcPr>
            <w:tcW w:w="5103" w:type="dxa"/>
            <w:vAlign w:val="center"/>
          </w:tcPr>
          <w:p w14:paraId="798A4447" w14:textId="77777777" w:rsidR="00B478A2" w:rsidRPr="00FF3072" w:rsidRDefault="00B478A2" w:rsidP="00B54421">
            <w:pPr>
              <w:pStyle w:val="AAValidation"/>
              <w:spacing w:line="240" w:lineRule="auto"/>
              <w:jc w:val="left"/>
              <w:rPr>
                <w:rFonts w:eastAsiaTheme="minorHAnsi" w:cstheme="minorHAnsi"/>
                <w:color w:val="000000" w:themeColor="text1"/>
                <w:szCs w:val="22"/>
                <w:lang w:val="en-IE"/>
              </w:rPr>
            </w:pPr>
            <w:r w:rsidRPr="00FF3072">
              <w:rPr>
                <w:rFonts w:eastAsiaTheme="minorHAnsi" w:cstheme="minorHAnsi"/>
                <w:color w:val="000000" w:themeColor="text1"/>
                <w:szCs w:val="22"/>
                <w:lang w:val="en-IE"/>
              </w:rPr>
              <w:t>Exam</w:t>
            </w:r>
          </w:p>
        </w:tc>
        <w:tc>
          <w:tcPr>
            <w:tcW w:w="1773" w:type="dxa"/>
            <w:vAlign w:val="center"/>
          </w:tcPr>
          <w:p w14:paraId="486A60FD" w14:textId="77777777" w:rsidR="00B478A2" w:rsidRPr="00FF3072" w:rsidRDefault="00B478A2" w:rsidP="00B54421">
            <w:pPr>
              <w:pStyle w:val="AAValidation"/>
              <w:spacing w:line="240" w:lineRule="auto"/>
              <w:jc w:val="left"/>
              <w:rPr>
                <w:rFonts w:eastAsiaTheme="minorHAnsi" w:cstheme="minorHAnsi"/>
                <w:color w:val="000000" w:themeColor="text1"/>
                <w:szCs w:val="22"/>
                <w:lang w:val="en-IE"/>
              </w:rPr>
            </w:pPr>
            <w:r>
              <w:rPr>
                <w:rFonts w:eastAsiaTheme="minorHAnsi" w:cstheme="minorHAnsi"/>
                <w:color w:val="000000" w:themeColor="text1"/>
                <w:szCs w:val="22"/>
                <w:lang w:val="en-IE"/>
              </w:rPr>
              <w:t>(</w:t>
            </w:r>
            <w:proofErr w:type="spellStart"/>
            <w:r>
              <w:rPr>
                <w:rFonts w:eastAsiaTheme="minorHAnsi" w:cstheme="minorHAnsi"/>
                <w:color w:val="000000" w:themeColor="text1"/>
                <w:szCs w:val="22"/>
                <w:lang w:val="en-IE"/>
              </w:rPr>
              <w:t>i</w:t>
            </w:r>
            <w:proofErr w:type="spellEnd"/>
            <w:r>
              <w:rPr>
                <w:rFonts w:eastAsiaTheme="minorHAnsi" w:cstheme="minorHAnsi"/>
                <w:color w:val="000000" w:themeColor="text1"/>
                <w:szCs w:val="22"/>
                <w:lang w:val="en-IE"/>
              </w:rPr>
              <w:t>) to (v)</w:t>
            </w:r>
          </w:p>
        </w:tc>
        <w:tc>
          <w:tcPr>
            <w:tcW w:w="1295" w:type="dxa"/>
            <w:vAlign w:val="center"/>
          </w:tcPr>
          <w:p w14:paraId="341793DE" w14:textId="77777777" w:rsidR="00B478A2" w:rsidRPr="00FF3072" w:rsidRDefault="00B478A2" w:rsidP="00B54421">
            <w:pPr>
              <w:pStyle w:val="AAValidation"/>
              <w:spacing w:line="240" w:lineRule="auto"/>
              <w:jc w:val="center"/>
              <w:rPr>
                <w:rFonts w:eastAsiaTheme="minorHAnsi" w:cstheme="minorHAnsi"/>
                <w:color w:val="000000" w:themeColor="text1"/>
                <w:szCs w:val="22"/>
                <w:lang w:val="en-IE"/>
              </w:rPr>
            </w:pPr>
            <w:r w:rsidRPr="00FF3072">
              <w:rPr>
                <w:rFonts w:eastAsiaTheme="minorHAnsi" w:cstheme="minorHAnsi"/>
                <w:color w:val="000000" w:themeColor="text1"/>
                <w:szCs w:val="22"/>
                <w:lang w:val="en-IE"/>
              </w:rPr>
              <w:t>50</w:t>
            </w:r>
          </w:p>
        </w:tc>
      </w:tr>
      <w:tr w:rsidR="00B478A2" w:rsidRPr="00FF3072" w14:paraId="1CBEE541" w14:textId="77777777" w:rsidTr="00B54421">
        <w:tc>
          <w:tcPr>
            <w:tcW w:w="846" w:type="dxa"/>
            <w:vAlign w:val="center"/>
          </w:tcPr>
          <w:p w14:paraId="4A392DCE" w14:textId="77777777" w:rsidR="00B478A2" w:rsidRPr="00FF3072" w:rsidRDefault="00B478A2" w:rsidP="00B54421">
            <w:pPr>
              <w:pStyle w:val="AAValidation"/>
              <w:spacing w:line="240" w:lineRule="auto"/>
              <w:jc w:val="center"/>
              <w:rPr>
                <w:rFonts w:eastAsiaTheme="minorHAnsi" w:cstheme="minorHAnsi"/>
                <w:color w:val="000000" w:themeColor="text1"/>
                <w:szCs w:val="22"/>
                <w:lang w:val="en-IE"/>
              </w:rPr>
            </w:pPr>
            <w:r w:rsidRPr="00FF3072">
              <w:rPr>
                <w:rFonts w:cstheme="minorHAnsi"/>
                <w:color w:val="000000" w:themeColor="text1"/>
                <w:szCs w:val="22"/>
                <w:lang w:val="en-IE"/>
              </w:rPr>
              <w:t>2</w:t>
            </w:r>
          </w:p>
        </w:tc>
        <w:tc>
          <w:tcPr>
            <w:tcW w:w="5103" w:type="dxa"/>
            <w:vAlign w:val="center"/>
          </w:tcPr>
          <w:p w14:paraId="0E9F035E" w14:textId="77777777" w:rsidR="00B478A2" w:rsidRPr="00FF3072" w:rsidRDefault="00B478A2" w:rsidP="00B54421">
            <w:pPr>
              <w:pStyle w:val="AAValidation"/>
              <w:spacing w:line="240" w:lineRule="auto"/>
              <w:jc w:val="left"/>
              <w:rPr>
                <w:rFonts w:eastAsiaTheme="minorHAnsi" w:cstheme="minorHAnsi"/>
                <w:color w:val="000000" w:themeColor="text1"/>
                <w:szCs w:val="22"/>
                <w:lang w:val="en-IE"/>
              </w:rPr>
            </w:pPr>
            <w:r w:rsidRPr="00FF3072">
              <w:rPr>
                <w:rFonts w:eastAsiaTheme="minorHAnsi" w:cstheme="minorHAnsi"/>
                <w:color w:val="000000" w:themeColor="text1"/>
                <w:szCs w:val="22"/>
                <w:lang w:val="en-IE"/>
              </w:rPr>
              <w:t>Case Brief</w:t>
            </w:r>
          </w:p>
        </w:tc>
        <w:tc>
          <w:tcPr>
            <w:tcW w:w="1773" w:type="dxa"/>
            <w:vAlign w:val="center"/>
          </w:tcPr>
          <w:p w14:paraId="0550E43A" w14:textId="77777777" w:rsidR="00B478A2" w:rsidRPr="00FF3072" w:rsidRDefault="00B478A2" w:rsidP="00B54421">
            <w:pPr>
              <w:pStyle w:val="AAValidation"/>
              <w:spacing w:line="240" w:lineRule="auto"/>
              <w:jc w:val="left"/>
              <w:rPr>
                <w:rFonts w:eastAsiaTheme="minorHAnsi" w:cstheme="minorHAnsi"/>
                <w:color w:val="000000" w:themeColor="text1"/>
                <w:szCs w:val="22"/>
                <w:lang w:val="en-IE"/>
              </w:rPr>
            </w:pPr>
            <w:r>
              <w:rPr>
                <w:rFonts w:eastAsiaTheme="minorHAnsi" w:cstheme="minorHAnsi"/>
                <w:color w:val="000000" w:themeColor="text1"/>
                <w:szCs w:val="22"/>
                <w:lang w:val="en-IE"/>
              </w:rPr>
              <w:t>(</w:t>
            </w:r>
            <w:proofErr w:type="spellStart"/>
            <w:r>
              <w:rPr>
                <w:rFonts w:eastAsiaTheme="minorHAnsi" w:cstheme="minorHAnsi"/>
                <w:color w:val="000000" w:themeColor="text1"/>
                <w:szCs w:val="22"/>
                <w:lang w:val="en-IE"/>
              </w:rPr>
              <w:t>i</w:t>
            </w:r>
            <w:proofErr w:type="spellEnd"/>
            <w:r>
              <w:rPr>
                <w:rFonts w:eastAsiaTheme="minorHAnsi" w:cstheme="minorHAnsi"/>
                <w:color w:val="000000" w:themeColor="text1"/>
                <w:szCs w:val="22"/>
                <w:lang w:val="en-IE"/>
              </w:rPr>
              <w:t>), (ii), (v)</w:t>
            </w:r>
          </w:p>
        </w:tc>
        <w:tc>
          <w:tcPr>
            <w:tcW w:w="1295" w:type="dxa"/>
            <w:vAlign w:val="center"/>
          </w:tcPr>
          <w:p w14:paraId="0B502598" w14:textId="77777777" w:rsidR="00B478A2" w:rsidRPr="00FF3072" w:rsidRDefault="00B478A2" w:rsidP="00B54421">
            <w:pPr>
              <w:pStyle w:val="AAValidation"/>
              <w:spacing w:line="240" w:lineRule="auto"/>
              <w:jc w:val="center"/>
              <w:rPr>
                <w:rFonts w:eastAsiaTheme="minorHAnsi" w:cstheme="minorHAnsi"/>
                <w:color w:val="000000" w:themeColor="text1"/>
                <w:szCs w:val="22"/>
                <w:lang w:val="en-IE"/>
              </w:rPr>
            </w:pPr>
            <w:r w:rsidRPr="00FF3072">
              <w:rPr>
                <w:rFonts w:eastAsiaTheme="minorHAnsi" w:cstheme="minorHAnsi"/>
                <w:color w:val="000000" w:themeColor="text1"/>
                <w:szCs w:val="22"/>
                <w:lang w:val="en-IE"/>
              </w:rPr>
              <w:t>20</w:t>
            </w:r>
          </w:p>
        </w:tc>
      </w:tr>
      <w:tr w:rsidR="00B478A2" w:rsidRPr="00FF3072" w14:paraId="41D466D7" w14:textId="77777777" w:rsidTr="00B54421">
        <w:tc>
          <w:tcPr>
            <w:tcW w:w="846" w:type="dxa"/>
            <w:vAlign w:val="center"/>
          </w:tcPr>
          <w:p w14:paraId="626DA875" w14:textId="77777777" w:rsidR="00B478A2" w:rsidRPr="00FF3072" w:rsidRDefault="00B478A2" w:rsidP="00B54421">
            <w:pPr>
              <w:pStyle w:val="AAValidation"/>
              <w:spacing w:line="240" w:lineRule="auto"/>
              <w:jc w:val="center"/>
              <w:rPr>
                <w:rFonts w:cstheme="minorHAnsi"/>
                <w:color w:val="000000" w:themeColor="text1"/>
                <w:szCs w:val="22"/>
                <w:lang w:val="en-IE"/>
              </w:rPr>
            </w:pPr>
            <w:r w:rsidRPr="00FF3072">
              <w:rPr>
                <w:rFonts w:cstheme="minorHAnsi"/>
                <w:color w:val="000000" w:themeColor="text1"/>
                <w:szCs w:val="22"/>
                <w:lang w:val="en-IE"/>
              </w:rPr>
              <w:t>3</w:t>
            </w:r>
          </w:p>
        </w:tc>
        <w:tc>
          <w:tcPr>
            <w:tcW w:w="5103" w:type="dxa"/>
            <w:vAlign w:val="center"/>
          </w:tcPr>
          <w:p w14:paraId="23E47309" w14:textId="77777777" w:rsidR="00B478A2" w:rsidRPr="00FF3072" w:rsidRDefault="00B478A2" w:rsidP="00B54421">
            <w:pPr>
              <w:pStyle w:val="AAValidation"/>
              <w:spacing w:line="240" w:lineRule="auto"/>
              <w:jc w:val="left"/>
              <w:rPr>
                <w:rFonts w:eastAsiaTheme="minorHAnsi" w:cstheme="minorHAnsi"/>
                <w:color w:val="000000" w:themeColor="text1"/>
                <w:szCs w:val="22"/>
                <w:lang w:val="en-IE"/>
              </w:rPr>
            </w:pPr>
            <w:r w:rsidRPr="00FF3072">
              <w:rPr>
                <w:rFonts w:eastAsiaTheme="minorHAnsi" w:cstheme="minorHAnsi"/>
                <w:color w:val="000000" w:themeColor="text1"/>
                <w:szCs w:val="22"/>
                <w:lang w:val="en-IE"/>
              </w:rPr>
              <w:t>Research Record</w:t>
            </w:r>
          </w:p>
        </w:tc>
        <w:tc>
          <w:tcPr>
            <w:tcW w:w="1773" w:type="dxa"/>
            <w:vAlign w:val="center"/>
          </w:tcPr>
          <w:p w14:paraId="0E1DF4A4" w14:textId="77777777" w:rsidR="00B478A2" w:rsidRPr="00FF3072" w:rsidRDefault="00B478A2" w:rsidP="00B54421">
            <w:pPr>
              <w:pStyle w:val="AAValidation"/>
              <w:spacing w:line="240" w:lineRule="auto"/>
              <w:jc w:val="left"/>
              <w:rPr>
                <w:rFonts w:eastAsiaTheme="minorHAnsi" w:cstheme="minorHAnsi"/>
                <w:color w:val="000000" w:themeColor="text1"/>
                <w:szCs w:val="22"/>
                <w:lang w:val="en-IE"/>
              </w:rPr>
            </w:pPr>
            <w:r>
              <w:rPr>
                <w:rFonts w:eastAsiaTheme="minorHAnsi" w:cstheme="minorHAnsi"/>
                <w:color w:val="000000" w:themeColor="text1"/>
                <w:szCs w:val="22"/>
                <w:lang w:val="en-IE"/>
              </w:rPr>
              <w:t>(</w:t>
            </w:r>
            <w:proofErr w:type="spellStart"/>
            <w:r>
              <w:rPr>
                <w:rFonts w:eastAsiaTheme="minorHAnsi" w:cstheme="minorHAnsi"/>
                <w:color w:val="000000" w:themeColor="text1"/>
                <w:szCs w:val="22"/>
                <w:lang w:val="en-IE"/>
              </w:rPr>
              <w:t>i</w:t>
            </w:r>
            <w:proofErr w:type="spellEnd"/>
            <w:r>
              <w:rPr>
                <w:rFonts w:eastAsiaTheme="minorHAnsi" w:cstheme="minorHAnsi"/>
                <w:color w:val="000000" w:themeColor="text1"/>
                <w:szCs w:val="22"/>
                <w:lang w:val="en-IE"/>
              </w:rPr>
              <w:t>), (ii), (v)</w:t>
            </w:r>
          </w:p>
        </w:tc>
        <w:tc>
          <w:tcPr>
            <w:tcW w:w="1295" w:type="dxa"/>
            <w:vAlign w:val="center"/>
          </w:tcPr>
          <w:p w14:paraId="2E3EFF49" w14:textId="77777777" w:rsidR="00B478A2" w:rsidRPr="00FF3072" w:rsidRDefault="00B478A2" w:rsidP="00B54421">
            <w:pPr>
              <w:pStyle w:val="AAValidation"/>
              <w:spacing w:line="240" w:lineRule="auto"/>
              <w:jc w:val="center"/>
              <w:rPr>
                <w:rFonts w:eastAsiaTheme="minorHAnsi" w:cstheme="minorHAnsi"/>
                <w:color w:val="000000" w:themeColor="text1"/>
                <w:szCs w:val="22"/>
                <w:lang w:val="en-IE"/>
              </w:rPr>
            </w:pPr>
            <w:r w:rsidRPr="00FF3072">
              <w:rPr>
                <w:rFonts w:eastAsiaTheme="minorHAnsi" w:cstheme="minorHAnsi"/>
                <w:color w:val="000000" w:themeColor="text1"/>
                <w:szCs w:val="22"/>
                <w:lang w:val="en-IE"/>
              </w:rPr>
              <w:t>30</w:t>
            </w:r>
          </w:p>
        </w:tc>
      </w:tr>
    </w:tbl>
    <w:p w14:paraId="0C7A1F59" w14:textId="77777777" w:rsidR="00B478A2" w:rsidRDefault="00B478A2" w:rsidP="00B478A2">
      <w:pPr>
        <w:rPr>
          <w:rFonts w:asciiTheme="minorHAnsi" w:hAnsiTheme="minorHAnsi" w:cstheme="minorHAnsi"/>
          <w:color w:val="000000" w:themeColor="text1"/>
          <w:szCs w:val="22"/>
        </w:rPr>
      </w:pPr>
    </w:p>
    <w:p w14:paraId="4411599F" w14:textId="77777777" w:rsidR="00B478A2" w:rsidRDefault="00B478A2" w:rsidP="00B478A2">
      <w:pPr>
        <w:jc w:val="both"/>
        <w:rPr>
          <w:rFonts w:asciiTheme="minorHAnsi" w:hAnsiTheme="minorHAnsi" w:cstheme="minorHAnsi"/>
          <w:szCs w:val="22"/>
        </w:rPr>
      </w:pPr>
      <w:r w:rsidRPr="00FF3072">
        <w:rPr>
          <w:rFonts w:asciiTheme="minorHAnsi" w:hAnsiTheme="minorHAnsi" w:cstheme="minorHAnsi"/>
          <w:b/>
          <w:szCs w:val="22"/>
        </w:rPr>
        <w:t>Reassessment/Repeat assessment strategy:</w:t>
      </w:r>
      <w:r w:rsidRPr="00FF3072">
        <w:rPr>
          <w:rFonts w:asciiTheme="minorHAnsi" w:hAnsiTheme="minorHAnsi" w:cstheme="minorHAnsi"/>
          <w:szCs w:val="22"/>
        </w:rPr>
        <w:t xml:space="preserve"> Griffith College regulations state that learners must pass all component elements of the module to be deemed to have passed the module. </w:t>
      </w:r>
    </w:p>
    <w:p w14:paraId="68A7FCC1" w14:textId="77777777" w:rsidR="00B478A2" w:rsidRPr="00FF3072" w:rsidRDefault="00B478A2" w:rsidP="00B478A2">
      <w:pPr>
        <w:jc w:val="both"/>
        <w:rPr>
          <w:rFonts w:asciiTheme="minorHAnsi" w:hAnsiTheme="minorHAnsi" w:cstheme="minorHAnsi"/>
          <w:szCs w:val="22"/>
        </w:rPr>
      </w:pPr>
    </w:p>
    <w:p w14:paraId="0F9869B5" w14:textId="77777777" w:rsidR="00B478A2" w:rsidRPr="00FF3072" w:rsidRDefault="00B478A2" w:rsidP="00B478A2">
      <w:pPr>
        <w:pStyle w:val="ListParagraph"/>
        <w:numPr>
          <w:ilvl w:val="0"/>
          <w:numId w:val="1"/>
        </w:numPr>
        <w:ind w:right="515"/>
        <w:rPr>
          <w:rFonts w:asciiTheme="minorHAnsi" w:hAnsiTheme="minorHAnsi" w:cstheme="minorHAnsi"/>
          <w:szCs w:val="22"/>
        </w:rPr>
      </w:pPr>
      <w:r w:rsidRPr="00FF3072">
        <w:rPr>
          <w:rFonts w:asciiTheme="minorHAnsi" w:hAnsiTheme="minorHAnsi" w:cstheme="minorHAnsi"/>
          <w:szCs w:val="22"/>
        </w:rPr>
        <w:t>In the event of a learner failing components of / this module, they will be required to submit a new individual repeat assignment which will be made available on Moodle to learners, and which must be submitted as per faculty instructions.</w:t>
      </w:r>
    </w:p>
    <w:p w14:paraId="651C0650" w14:textId="77777777" w:rsidR="00B478A2" w:rsidRPr="00FF3072" w:rsidRDefault="00B478A2" w:rsidP="00B478A2">
      <w:pPr>
        <w:pStyle w:val="ListParagraph"/>
        <w:numPr>
          <w:ilvl w:val="0"/>
          <w:numId w:val="1"/>
        </w:numPr>
        <w:ind w:right="515"/>
        <w:rPr>
          <w:rFonts w:asciiTheme="minorHAnsi" w:hAnsiTheme="minorHAnsi" w:cstheme="minorHAnsi"/>
          <w:szCs w:val="22"/>
        </w:rPr>
      </w:pPr>
      <w:r w:rsidRPr="00FF3072">
        <w:rPr>
          <w:rFonts w:asciiTheme="minorHAnsi" w:hAnsiTheme="minorHAnsi" w:cstheme="minorHAnsi"/>
          <w:szCs w:val="22"/>
        </w:rPr>
        <w:t>In the event of a learner failing the group assessment element of this module, a new individual repeat assignment will be made available on Moodle to learners which must be submitted as per faculty instructions.</w:t>
      </w:r>
    </w:p>
    <w:p w14:paraId="7F2B28CA" w14:textId="77777777" w:rsidR="00B478A2" w:rsidRPr="00FF3072" w:rsidRDefault="00B478A2" w:rsidP="00B478A2">
      <w:pPr>
        <w:pStyle w:val="ListParagraph"/>
        <w:numPr>
          <w:ilvl w:val="0"/>
          <w:numId w:val="1"/>
        </w:numPr>
        <w:ind w:right="515"/>
        <w:rPr>
          <w:rFonts w:asciiTheme="minorHAnsi" w:hAnsiTheme="minorHAnsi" w:cstheme="minorHAnsi"/>
          <w:szCs w:val="22"/>
        </w:rPr>
      </w:pPr>
      <w:r w:rsidRPr="00FF3072">
        <w:rPr>
          <w:rFonts w:asciiTheme="minorHAnsi" w:hAnsiTheme="minorHAnsi" w:cstheme="minorHAnsi"/>
          <w:szCs w:val="22"/>
        </w:rPr>
        <w:t xml:space="preserve">In the event of the learner failing the exam, learners will take the re-sit exam at the next available sitting, details of which will be made available to learners via Moodle. </w:t>
      </w:r>
    </w:p>
    <w:p w14:paraId="35C8C5A5" w14:textId="77777777" w:rsidR="00B478A2" w:rsidRDefault="00B478A2" w:rsidP="00B478A2">
      <w:pPr>
        <w:suppressAutoHyphens w:val="0"/>
        <w:rPr>
          <w:rFonts w:asciiTheme="minorHAnsi" w:hAnsiTheme="minorHAnsi" w:cstheme="minorHAnsi"/>
          <w:b/>
          <w:bCs/>
          <w:color w:val="000000" w:themeColor="text1"/>
          <w:szCs w:val="22"/>
        </w:rPr>
      </w:pPr>
    </w:p>
    <w:p w14:paraId="725312F2" w14:textId="77777777" w:rsidR="00B478A2" w:rsidRPr="00945B80" w:rsidRDefault="00B478A2" w:rsidP="00B478A2">
      <w:pPr>
        <w:pStyle w:val="Heading3"/>
        <w:rPr>
          <w:color w:val="000000" w:themeColor="text1"/>
        </w:rPr>
      </w:pPr>
      <w:bookmarkStart w:id="1" w:name="_Toc67385893"/>
      <w:bookmarkStart w:id="2" w:name="_Toc67395167"/>
      <w:bookmarkStart w:id="3" w:name="_Toc67410275"/>
      <w:bookmarkStart w:id="4" w:name="_Toc67415486"/>
      <w:bookmarkStart w:id="5" w:name="_Toc67904028"/>
      <w:bookmarkStart w:id="6" w:name="_Toc68009858"/>
      <w:bookmarkStart w:id="7" w:name="_Toc68023535"/>
      <w:r w:rsidRPr="00945B80">
        <w:rPr>
          <w:color w:val="000000" w:themeColor="text1"/>
        </w:rPr>
        <w:t>Sample assessment materials</w:t>
      </w:r>
      <w:bookmarkEnd w:id="1"/>
      <w:bookmarkEnd w:id="2"/>
      <w:bookmarkEnd w:id="3"/>
      <w:bookmarkEnd w:id="4"/>
      <w:bookmarkEnd w:id="5"/>
      <w:bookmarkEnd w:id="6"/>
      <w:bookmarkEnd w:id="7"/>
    </w:p>
    <w:p w14:paraId="780ABD1B" w14:textId="77777777" w:rsidR="00B478A2" w:rsidRPr="00945B80" w:rsidRDefault="00B478A2" w:rsidP="00B478A2">
      <w:pPr>
        <w:rPr>
          <w:color w:val="000000" w:themeColor="text1"/>
          <w:szCs w:val="22"/>
        </w:rPr>
      </w:pPr>
      <w:r w:rsidRPr="00945B80">
        <w:rPr>
          <w:color w:val="000000" w:themeColor="text1"/>
          <w:szCs w:val="22"/>
        </w:rPr>
        <w:t>Please see sample assessment supplementary document.</w:t>
      </w:r>
    </w:p>
    <w:p w14:paraId="2ABB469D" w14:textId="77777777" w:rsidR="007F1D8E" w:rsidRDefault="007F1D8E"/>
    <w:sectPr w:rsidR="007F1D8E" w:rsidSect="00DE127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C17C" w14:textId="77777777" w:rsidR="00353AD4" w:rsidRDefault="00353AD4" w:rsidP="00B478A2">
      <w:r>
        <w:separator/>
      </w:r>
    </w:p>
  </w:endnote>
  <w:endnote w:type="continuationSeparator" w:id="0">
    <w:p w14:paraId="6FEF0FB4" w14:textId="77777777" w:rsidR="00353AD4" w:rsidRDefault="00353AD4" w:rsidP="00B4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89F9" w14:textId="77777777" w:rsidR="00353AD4" w:rsidRDefault="00353AD4" w:rsidP="00B478A2">
      <w:r>
        <w:separator/>
      </w:r>
    </w:p>
  </w:footnote>
  <w:footnote w:type="continuationSeparator" w:id="0">
    <w:p w14:paraId="4B0C89B8" w14:textId="77777777" w:rsidR="00353AD4" w:rsidRDefault="00353AD4" w:rsidP="00B478A2">
      <w:r>
        <w:continuationSeparator/>
      </w:r>
    </w:p>
  </w:footnote>
  <w:footnote w:id="1">
    <w:p w14:paraId="4F05A3ED" w14:textId="77777777" w:rsidR="00B478A2" w:rsidRPr="006C6290" w:rsidRDefault="00B478A2" w:rsidP="00B478A2">
      <w:pPr>
        <w:pStyle w:val="FootnoteText"/>
      </w:pPr>
      <w:r w:rsidRPr="006C6290">
        <w:rPr>
          <w:rStyle w:val="FootnoteReference"/>
          <w:rFonts w:eastAsiaTheme="majorEastAsia"/>
        </w:rPr>
        <w:footnoteRef/>
      </w:r>
      <w:r w:rsidRPr="006C6290">
        <w:t xml:space="preserve"> Effort while in contact with staff</w:t>
      </w:r>
    </w:p>
  </w:footnote>
  <w:footnote w:id="2">
    <w:p w14:paraId="266EA353" w14:textId="77777777" w:rsidR="00B478A2" w:rsidRPr="006C6290" w:rsidRDefault="00B478A2" w:rsidP="00B478A2">
      <w:pPr>
        <w:pStyle w:val="FootnoteText"/>
      </w:pPr>
      <w:r w:rsidRPr="006C6290">
        <w:rPr>
          <w:rStyle w:val="FootnoteReference"/>
          <w:rFonts w:eastAsiaTheme="majorEastAsia"/>
        </w:rPr>
        <w:footnoteRef/>
      </w:r>
      <w:r w:rsidRPr="006C6290">
        <w:t xml:space="preserve"> </w:t>
      </w:r>
      <w:r w:rsidRPr="006C6290">
        <w:t>WTE is the whole-time equivalent number. The number 1 indicates a fulltime person fully dedicated to the programme. 0.5 indicates a part-time person available to this programme half of the 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7865"/>
    <w:multiLevelType w:val="hybridMultilevel"/>
    <w:tmpl w:val="1652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F4BD5"/>
    <w:multiLevelType w:val="hybridMultilevel"/>
    <w:tmpl w:val="01902BD0"/>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25A01B38"/>
    <w:multiLevelType w:val="hybridMultilevel"/>
    <w:tmpl w:val="CCEAE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04C06"/>
    <w:multiLevelType w:val="hybridMultilevel"/>
    <w:tmpl w:val="A6326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77805BE"/>
    <w:multiLevelType w:val="hybridMultilevel"/>
    <w:tmpl w:val="FF9A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485AB2"/>
    <w:multiLevelType w:val="multilevel"/>
    <w:tmpl w:val="7E062CAE"/>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581A3868"/>
    <w:multiLevelType w:val="hybridMultilevel"/>
    <w:tmpl w:val="7A3A72CE"/>
    <w:lvl w:ilvl="0" w:tplc="58E810D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A2"/>
    <w:rsid w:val="00353AD4"/>
    <w:rsid w:val="007F1D8E"/>
    <w:rsid w:val="00B478A2"/>
    <w:rsid w:val="00DE12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30D6AB5"/>
  <w15:chartTrackingRefBased/>
  <w15:docId w15:val="{8199152A-EF80-B643-B1C3-5806ECA6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8A2"/>
    <w:pPr>
      <w:suppressAutoHyphens/>
    </w:pPr>
    <w:rPr>
      <w:rFonts w:ascii="Calibri" w:eastAsia="Times New Roman" w:hAnsi="Calibri" w:cs="Times New Roman"/>
      <w:sz w:val="22"/>
      <w:lang w:eastAsia="ar-SA"/>
    </w:rPr>
  </w:style>
  <w:style w:type="paragraph" w:styleId="Heading1">
    <w:name w:val="heading 1"/>
    <w:basedOn w:val="Normal"/>
    <w:next w:val="Normal"/>
    <w:link w:val="Heading1Char"/>
    <w:uiPriority w:val="9"/>
    <w:qFormat/>
    <w:rsid w:val="00B478A2"/>
    <w:pPr>
      <w:keepNext/>
      <w:keepLines/>
      <w:numPr>
        <w:numId w:val="6"/>
      </w:numPr>
      <w:outlineLvl w:val="0"/>
    </w:pPr>
    <w:rPr>
      <w:rFonts w:asciiTheme="minorHAnsi" w:eastAsiaTheme="majorEastAsia" w:hAnsiTheme="minorHAnsi" w:cstheme="majorBidi"/>
      <w:b/>
      <w:sz w:val="28"/>
      <w:szCs w:val="32"/>
    </w:rPr>
  </w:style>
  <w:style w:type="paragraph" w:styleId="Heading2">
    <w:name w:val="heading 2"/>
    <w:basedOn w:val="Normal"/>
    <w:next w:val="Normal"/>
    <w:link w:val="Heading2Char"/>
    <w:unhideWhenUsed/>
    <w:qFormat/>
    <w:rsid w:val="00B478A2"/>
    <w:pPr>
      <w:keepNext/>
      <w:numPr>
        <w:ilvl w:val="1"/>
        <w:numId w:val="6"/>
      </w:numPr>
      <w:outlineLvl w:val="1"/>
    </w:pPr>
    <w:rPr>
      <w:rFonts w:cs="Arial"/>
      <w:b/>
      <w:bCs/>
      <w:iCs/>
      <w:sz w:val="26"/>
      <w:szCs w:val="28"/>
    </w:rPr>
  </w:style>
  <w:style w:type="paragraph" w:styleId="Heading3">
    <w:name w:val="heading 3"/>
    <w:basedOn w:val="Normal"/>
    <w:next w:val="Normal"/>
    <w:link w:val="Heading3Char"/>
    <w:unhideWhenUsed/>
    <w:qFormat/>
    <w:rsid w:val="00B478A2"/>
    <w:pPr>
      <w:keepNext/>
      <w:numPr>
        <w:ilvl w:val="2"/>
        <w:numId w:val="6"/>
      </w:numPr>
      <w:outlineLvl w:val="2"/>
    </w:pPr>
    <w:rPr>
      <w:rFonts w:cs="Arial"/>
      <w:b/>
      <w:bCs/>
      <w:sz w:val="24"/>
      <w:szCs w:val="26"/>
      <w:lang w:eastAsia="en-US"/>
    </w:rPr>
  </w:style>
  <w:style w:type="paragraph" w:styleId="Heading4">
    <w:name w:val="heading 4"/>
    <w:basedOn w:val="Normal"/>
    <w:next w:val="Normal"/>
    <w:link w:val="Heading4Char"/>
    <w:uiPriority w:val="9"/>
    <w:semiHidden/>
    <w:unhideWhenUsed/>
    <w:qFormat/>
    <w:rsid w:val="00B478A2"/>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478A2"/>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478A2"/>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478A2"/>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478A2"/>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78A2"/>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8A2"/>
    <w:rPr>
      <w:rFonts w:eastAsiaTheme="majorEastAsia" w:cstheme="majorBidi"/>
      <w:b/>
      <w:sz w:val="28"/>
      <w:szCs w:val="32"/>
      <w:lang w:eastAsia="ar-SA"/>
    </w:rPr>
  </w:style>
  <w:style w:type="character" w:customStyle="1" w:styleId="Heading2Char">
    <w:name w:val="Heading 2 Char"/>
    <w:basedOn w:val="DefaultParagraphFont"/>
    <w:link w:val="Heading2"/>
    <w:rsid w:val="00B478A2"/>
    <w:rPr>
      <w:rFonts w:ascii="Calibri" w:eastAsia="Times New Roman" w:hAnsi="Calibri" w:cs="Arial"/>
      <w:b/>
      <w:bCs/>
      <w:iCs/>
      <w:sz w:val="26"/>
      <w:szCs w:val="28"/>
      <w:lang w:eastAsia="ar-SA"/>
    </w:rPr>
  </w:style>
  <w:style w:type="character" w:customStyle="1" w:styleId="Heading3Char">
    <w:name w:val="Heading 3 Char"/>
    <w:basedOn w:val="DefaultParagraphFont"/>
    <w:link w:val="Heading3"/>
    <w:rsid w:val="00B478A2"/>
    <w:rPr>
      <w:rFonts w:ascii="Calibri" w:eastAsia="Times New Roman" w:hAnsi="Calibri" w:cs="Arial"/>
      <w:b/>
      <w:bCs/>
      <w:szCs w:val="26"/>
    </w:rPr>
  </w:style>
  <w:style w:type="character" w:customStyle="1" w:styleId="Heading4Char">
    <w:name w:val="Heading 4 Char"/>
    <w:basedOn w:val="DefaultParagraphFont"/>
    <w:link w:val="Heading4"/>
    <w:uiPriority w:val="9"/>
    <w:semiHidden/>
    <w:rsid w:val="00B478A2"/>
    <w:rPr>
      <w:rFonts w:asciiTheme="majorHAnsi" w:eastAsiaTheme="majorEastAsia" w:hAnsiTheme="majorHAnsi" w:cstheme="majorBidi"/>
      <w:i/>
      <w:iCs/>
      <w:color w:val="2F5496" w:themeColor="accent1" w:themeShade="BF"/>
      <w:sz w:val="22"/>
      <w:lang w:eastAsia="ar-SA"/>
    </w:rPr>
  </w:style>
  <w:style w:type="character" w:customStyle="1" w:styleId="Heading5Char">
    <w:name w:val="Heading 5 Char"/>
    <w:basedOn w:val="DefaultParagraphFont"/>
    <w:link w:val="Heading5"/>
    <w:uiPriority w:val="9"/>
    <w:semiHidden/>
    <w:rsid w:val="00B478A2"/>
    <w:rPr>
      <w:rFonts w:asciiTheme="majorHAnsi" w:eastAsiaTheme="majorEastAsia" w:hAnsiTheme="majorHAnsi" w:cstheme="majorBidi"/>
      <w:color w:val="2F5496" w:themeColor="accent1" w:themeShade="BF"/>
      <w:sz w:val="22"/>
      <w:lang w:eastAsia="ar-SA"/>
    </w:rPr>
  </w:style>
  <w:style w:type="character" w:customStyle="1" w:styleId="Heading6Char">
    <w:name w:val="Heading 6 Char"/>
    <w:basedOn w:val="DefaultParagraphFont"/>
    <w:link w:val="Heading6"/>
    <w:uiPriority w:val="9"/>
    <w:semiHidden/>
    <w:rsid w:val="00B478A2"/>
    <w:rPr>
      <w:rFonts w:asciiTheme="majorHAnsi" w:eastAsiaTheme="majorEastAsia" w:hAnsiTheme="majorHAnsi" w:cstheme="majorBidi"/>
      <w:color w:val="1F3763" w:themeColor="accent1" w:themeShade="7F"/>
      <w:sz w:val="22"/>
      <w:lang w:eastAsia="ar-SA"/>
    </w:rPr>
  </w:style>
  <w:style w:type="character" w:customStyle="1" w:styleId="Heading7Char">
    <w:name w:val="Heading 7 Char"/>
    <w:basedOn w:val="DefaultParagraphFont"/>
    <w:link w:val="Heading7"/>
    <w:uiPriority w:val="9"/>
    <w:semiHidden/>
    <w:rsid w:val="00B478A2"/>
    <w:rPr>
      <w:rFonts w:asciiTheme="majorHAnsi" w:eastAsiaTheme="majorEastAsia" w:hAnsiTheme="majorHAnsi" w:cstheme="majorBidi"/>
      <w:i/>
      <w:iCs/>
      <w:color w:val="1F3763" w:themeColor="accent1" w:themeShade="7F"/>
      <w:sz w:val="22"/>
      <w:lang w:eastAsia="ar-SA"/>
    </w:rPr>
  </w:style>
  <w:style w:type="character" w:customStyle="1" w:styleId="Heading8Char">
    <w:name w:val="Heading 8 Char"/>
    <w:basedOn w:val="DefaultParagraphFont"/>
    <w:link w:val="Heading8"/>
    <w:uiPriority w:val="9"/>
    <w:semiHidden/>
    <w:rsid w:val="00B478A2"/>
    <w:rPr>
      <w:rFonts w:asciiTheme="majorHAnsi" w:eastAsiaTheme="majorEastAsia" w:hAnsiTheme="majorHAnsi" w:cstheme="majorBidi"/>
      <w:color w:val="272727" w:themeColor="text1" w:themeTint="D8"/>
      <w:sz w:val="21"/>
      <w:szCs w:val="21"/>
      <w:lang w:eastAsia="ar-SA"/>
    </w:rPr>
  </w:style>
  <w:style w:type="character" w:customStyle="1" w:styleId="Heading9Char">
    <w:name w:val="Heading 9 Char"/>
    <w:basedOn w:val="DefaultParagraphFont"/>
    <w:link w:val="Heading9"/>
    <w:uiPriority w:val="9"/>
    <w:semiHidden/>
    <w:rsid w:val="00B478A2"/>
    <w:rPr>
      <w:rFonts w:asciiTheme="majorHAnsi" w:eastAsiaTheme="majorEastAsia" w:hAnsiTheme="majorHAnsi" w:cstheme="majorBidi"/>
      <w:i/>
      <w:iCs/>
      <w:color w:val="272727" w:themeColor="text1" w:themeTint="D8"/>
      <w:sz w:val="21"/>
      <w:szCs w:val="21"/>
      <w:lang w:eastAsia="ar-SA"/>
    </w:rPr>
  </w:style>
  <w:style w:type="paragraph" w:styleId="FootnoteText">
    <w:name w:val="footnote text"/>
    <w:basedOn w:val="Normal"/>
    <w:link w:val="FootnoteTextChar"/>
    <w:unhideWhenUsed/>
    <w:rsid w:val="00B478A2"/>
    <w:rPr>
      <w:sz w:val="18"/>
      <w:szCs w:val="20"/>
    </w:rPr>
  </w:style>
  <w:style w:type="character" w:customStyle="1" w:styleId="FootnoteTextChar">
    <w:name w:val="Footnote Text Char"/>
    <w:basedOn w:val="DefaultParagraphFont"/>
    <w:link w:val="FootnoteText"/>
    <w:rsid w:val="00B478A2"/>
    <w:rPr>
      <w:rFonts w:ascii="Calibri" w:eastAsia="Times New Roman" w:hAnsi="Calibri" w:cs="Times New Roman"/>
      <w:sz w:val="18"/>
      <w:szCs w:val="20"/>
      <w:lang w:eastAsia="ar-SA"/>
    </w:rPr>
  </w:style>
  <w:style w:type="character" w:styleId="FootnoteReference">
    <w:name w:val="footnote reference"/>
    <w:basedOn w:val="DefaultParagraphFont"/>
    <w:uiPriority w:val="99"/>
    <w:unhideWhenUsed/>
    <w:rsid w:val="00B478A2"/>
    <w:rPr>
      <w:vertAlign w:val="superscript"/>
    </w:rPr>
  </w:style>
  <w:style w:type="table" w:styleId="TableGrid">
    <w:name w:val="Table Grid"/>
    <w:basedOn w:val="TableNormal"/>
    <w:uiPriority w:val="39"/>
    <w:qFormat/>
    <w:rsid w:val="00B478A2"/>
    <w:pPr>
      <w:suppressAutoHyphens/>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478A2"/>
    <w:pPr>
      <w:ind w:left="720"/>
      <w:contextualSpacing/>
    </w:pPr>
  </w:style>
  <w:style w:type="character" w:customStyle="1" w:styleId="ListParagraphChar">
    <w:name w:val="List Paragraph Char"/>
    <w:basedOn w:val="DefaultParagraphFont"/>
    <w:link w:val="ListParagraph"/>
    <w:uiPriority w:val="34"/>
    <w:qFormat/>
    <w:rsid w:val="00B478A2"/>
    <w:rPr>
      <w:rFonts w:ascii="Calibri" w:eastAsia="Times New Roman" w:hAnsi="Calibri" w:cs="Times New Roman"/>
      <w:sz w:val="22"/>
      <w:lang w:eastAsia="ar-SA"/>
    </w:rPr>
  </w:style>
  <w:style w:type="paragraph" w:customStyle="1" w:styleId="AAValidation">
    <w:name w:val="AA__Validation"/>
    <w:basedOn w:val="Normal"/>
    <w:qFormat/>
    <w:rsid w:val="00B478A2"/>
    <w:pPr>
      <w:suppressAutoHyphens w:val="0"/>
      <w:spacing w:line="360" w:lineRule="auto"/>
      <w:jc w:val="both"/>
    </w:pPr>
    <w:rPr>
      <w:rFonts w:asciiTheme="minorHAnsi" w:hAnsiTheme="minorHAnsi"/>
      <w:color w:val="000000"/>
      <w:szCs w:val="20"/>
      <w:lang w:val="en-GB" w:eastAsia="zh-CN"/>
    </w:rPr>
  </w:style>
  <w:style w:type="paragraph" w:styleId="BodyText">
    <w:name w:val="Body Text"/>
    <w:basedOn w:val="Normal"/>
    <w:link w:val="BodyTextChar"/>
    <w:rsid w:val="00B478A2"/>
  </w:style>
  <w:style w:type="character" w:customStyle="1" w:styleId="BodyTextChar">
    <w:name w:val="Body Text Char"/>
    <w:basedOn w:val="DefaultParagraphFont"/>
    <w:link w:val="BodyText"/>
    <w:rsid w:val="00B478A2"/>
    <w:rPr>
      <w:rFonts w:ascii="Calibri" w:eastAsia="Times New Roman" w:hAnsi="Calibri" w:cs="Times New Roman"/>
      <w:sz w:val="22"/>
      <w:lang w:eastAsia="ar-SA"/>
    </w:rPr>
  </w:style>
  <w:style w:type="character" w:styleId="Hyperlink">
    <w:name w:val="Hyperlink"/>
    <w:basedOn w:val="DefaultParagraphFont"/>
    <w:uiPriority w:val="99"/>
    <w:unhideWhenUsed/>
    <w:rsid w:val="00B478A2"/>
    <w:rPr>
      <w:color w:val="0563C1" w:themeColor="hyperlink"/>
      <w:u w:val="single"/>
    </w:rPr>
  </w:style>
  <w:style w:type="paragraph" w:styleId="NormalWeb">
    <w:name w:val="Normal (Web)"/>
    <w:basedOn w:val="Normal"/>
    <w:uiPriority w:val="99"/>
    <w:unhideWhenUsed/>
    <w:rsid w:val="00B478A2"/>
    <w:pPr>
      <w:suppressAutoHyphens w:val="0"/>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nning.law.ox.ac.uk/publish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2204</Words>
  <Characters>12566</Characters>
  <Application>Microsoft Office Word</Application>
  <DocSecurity>0</DocSecurity>
  <Lines>104</Lines>
  <Paragraphs>29</Paragraphs>
  <ScaleCrop>false</ScaleCrop>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Roberts</dc:creator>
  <cp:keywords/>
  <dc:description/>
  <cp:lastModifiedBy>Roisin Roberts</cp:lastModifiedBy>
  <cp:revision>1</cp:revision>
  <dcterms:created xsi:type="dcterms:W3CDTF">2021-08-06T15:07:00Z</dcterms:created>
  <dcterms:modified xsi:type="dcterms:W3CDTF">2021-08-06T15:08:00Z</dcterms:modified>
</cp:coreProperties>
</file>