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80ED" w14:textId="77777777" w:rsidR="004F78A8" w:rsidRDefault="004F78A8" w:rsidP="004F78A8">
      <w:pPr>
        <w:pStyle w:val="Heading2"/>
      </w:pPr>
      <w:bookmarkStart w:id="0" w:name="_Toc70076537"/>
      <w:r>
        <w:t>Module 13: Company Law [Elective]</w:t>
      </w:r>
      <w:bookmarkEnd w:id="0"/>
    </w:p>
    <w:p w14:paraId="62EBC249" w14:textId="77777777" w:rsidR="004F78A8" w:rsidRPr="00CC46B7" w:rsidRDefault="004F78A8" w:rsidP="004F78A8"/>
    <w:tbl>
      <w:tblPr>
        <w:tblStyle w:val="TableGrid"/>
        <w:tblW w:w="5000" w:type="pct"/>
        <w:tblInd w:w="0" w:type="dxa"/>
        <w:tblLook w:val="04A0" w:firstRow="1" w:lastRow="0" w:firstColumn="1" w:lastColumn="0" w:noHBand="0" w:noVBand="1"/>
      </w:tblPr>
      <w:tblGrid>
        <w:gridCol w:w="2231"/>
        <w:gridCol w:w="755"/>
        <w:gridCol w:w="953"/>
        <w:gridCol w:w="1973"/>
        <w:gridCol w:w="1197"/>
        <w:gridCol w:w="353"/>
        <w:gridCol w:w="1548"/>
      </w:tblGrid>
      <w:tr w:rsidR="004F78A8" w:rsidRPr="00954FEE" w14:paraId="76715CA7" w14:textId="77777777" w:rsidTr="00B54421">
        <w:tc>
          <w:tcPr>
            <w:tcW w:w="5000" w:type="pct"/>
            <w:gridSpan w:val="7"/>
            <w:shd w:val="clear" w:color="auto" w:fill="D9E2F3" w:themeFill="accent1" w:themeFillTint="33"/>
            <w:vAlign w:val="center"/>
          </w:tcPr>
          <w:p w14:paraId="09896196"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 xml:space="preserve">Module title </w:t>
            </w:r>
          </w:p>
        </w:tc>
      </w:tr>
      <w:tr w:rsidR="004F78A8" w:rsidRPr="00954FEE" w14:paraId="7159A08C" w14:textId="77777777" w:rsidTr="00B54421">
        <w:tc>
          <w:tcPr>
            <w:tcW w:w="5000" w:type="pct"/>
            <w:gridSpan w:val="7"/>
            <w:tcBorders>
              <w:bottom w:val="single" w:sz="4" w:space="0" w:color="auto"/>
            </w:tcBorders>
            <w:vAlign w:val="center"/>
          </w:tcPr>
          <w:p w14:paraId="75FC7677"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Company Law</w:t>
            </w:r>
            <w:r>
              <w:rPr>
                <w:rFonts w:asciiTheme="minorHAnsi" w:hAnsiTheme="minorHAnsi" w:cstheme="minorHAnsi"/>
              </w:rPr>
              <w:t xml:space="preserve"> [E]</w:t>
            </w:r>
          </w:p>
        </w:tc>
      </w:tr>
      <w:tr w:rsidR="004F78A8" w:rsidRPr="00954FEE" w14:paraId="16E1E1EB" w14:textId="77777777" w:rsidTr="00B54421">
        <w:tc>
          <w:tcPr>
            <w:tcW w:w="1657" w:type="pct"/>
            <w:gridSpan w:val="2"/>
            <w:shd w:val="clear" w:color="auto" w:fill="D9E2F3" w:themeFill="accent1" w:themeFillTint="33"/>
            <w:vAlign w:val="center"/>
          </w:tcPr>
          <w:p w14:paraId="16711BAA"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 xml:space="preserve">Module NFQ level </w:t>
            </w:r>
            <w:r w:rsidRPr="00954FEE">
              <w:rPr>
                <w:rFonts w:asciiTheme="minorHAnsi" w:hAnsiTheme="minorHAnsi" w:cstheme="minorHAnsi"/>
                <w:bCs/>
              </w:rPr>
              <w:t>(only if an NFQ level can be demonstrated)</w:t>
            </w:r>
          </w:p>
        </w:tc>
        <w:tc>
          <w:tcPr>
            <w:tcW w:w="1623" w:type="pct"/>
            <w:gridSpan w:val="2"/>
            <w:shd w:val="clear" w:color="auto" w:fill="D9E2F3" w:themeFill="accent1" w:themeFillTint="33"/>
            <w:vAlign w:val="center"/>
          </w:tcPr>
          <w:p w14:paraId="0C3F0587"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Module number / reference</w:t>
            </w:r>
          </w:p>
        </w:tc>
        <w:tc>
          <w:tcPr>
            <w:tcW w:w="860" w:type="pct"/>
            <w:gridSpan w:val="2"/>
            <w:shd w:val="clear" w:color="auto" w:fill="D9E2F3" w:themeFill="accent1" w:themeFillTint="33"/>
            <w:vAlign w:val="center"/>
          </w:tcPr>
          <w:p w14:paraId="68C3CB6E" w14:textId="77777777" w:rsidR="004F78A8" w:rsidRPr="00954FEE" w:rsidRDefault="004F78A8" w:rsidP="00B54421">
            <w:pPr>
              <w:jc w:val="center"/>
              <w:rPr>
                <w:rFonts w:asciiTheme="minorHAnsi" w:hAnsiTheme="minorHAnsi" w:cstheme="minorHAnsi"/>
                <w:b/>
              </w:rPr>
            </w:pPr>
            <w:r w:rsidRPr="00954FEE">
              <w:rPr>
                <w:rFonts w:asciiTheme="minorHAnsi" w:hAnsiTheme="minorHAnsi" w:cstheme="minorHAnsi"/>
                <w:b/>
              </w:rPr>
              <w:t>ECTS Value</w:t>
            </w:r>
          </w:p>
        </w:tc>
        <w:tc>
          <w:tcPr>
            <w:tcW w:w="860" w:type="pct"/>
            <w:shd w:val="clear" w:color="auto" w:fill="D9E2F3" w:themeFill="accent1" w:themeFillTint="33"/>
            <w:vAlign w:val="center"/>
          </w:tcPr>
          <w:p w14:paraId="3A602E6D" w14:textId="77777777" w:rsidR="004F78A8" w:rsidRPr="00954FEE" w:rsidRDefault="004F78A8" w:rsidP="00B54421">
            <w:pPr>
              <w:jc w:val="center"/>
              <w:rPr>
                <w:rFonts w:asciiTheme="minorHAnsi" w:hAnsiTheme="minorHAnsi" w:cstheme="minorHAnsi"/>
                <w:b/>
              </w:rPr>
            </w:pPr>
            <w:r w:rsidRPr="00954FEE">
              <w:rPr>
                <w:rFonts w:asciiTheme="minorHAnsi" w:hAnsiTheme="minorHAnsi" w:cstheme="minorHAnsi"/>
                <w:b/>
              </w:rPr>
              <w:t>Duration</w:t>
            </w:r>
          </w:p>
        </w:tc>
      </w:tr>
      <w:tr w:rsidR="004F78A8" w:rsidRPr="00954FEE" w14:paraId="64E228DE" w14:textId="77777777" w:rsidTr="00B54421">
        <w:tc>
          <w:tcPr>
            <w:tcW w:w="1657" w:type="pct"/>
            <w:gridSpan w:val="2"/>
            <w:tcBorders>
              <w:top w:val="single" w:sz="4" w:space="0" w:color="auto"/>
              <w:bottom w:val="single" w:sz="4" w:space="0" w:color="auto"/>
            </w:tcBorders>
            <w:vAlign w:val="center"/>
          </w:tcPr>
          <w:p w14:paraId="72A4B16F" w14:textId="77777777" w:rsidR="004F78A8" w:rsidRPr="00954FEE" w:rsidRDefault="004F78A8" w:rsidP="00B54421">
            <w:pPr>
              <w:rPr>
                <w:rFonts w:asciiTheme="minorHAnsi" w:hAnsiTheme="minorHAnsi" w:cstheme="minorHAnsi"/>
                <w:color w:val="000000" w:themeColor="text1"/>
              </w:rPr>
            </w:pPr>
            <w:r w:rsidRPr="00954FEE">
              <w:rPr>
                <w:rFonts w:asciiTheme="minorHAnsi" w:hAnsiTheme="minorHAnsi" w:cstheme="minorHAnsi"/>
                <w:color w:val="000000" w:themeColor="text1"/>
              </w:rPr>
              <w:t>Level 7</w:t>
            </w:r>
          </w:p>
        </w:tc>
        <w:tc>
          <w:tcPr>
            <w:tcW w:w="1623" w:type="pct"/>
            <w:gridSpan w:val="2"/>
            <w:tcBorders>
              <w:top w:val="single" w:sz="4" w:space="0" w:color="auto"/>
              <w:bottom w:val="single" w:sz="4" w:space="0" w:color="auto"/>
            </w:tcBorders>
            <w:vAlign w:val="center"/>
          </w:tcPr>
          <w:p w14:paraId="3337F0F4" w14:textId="77777777" w:rsidR="004F78A8" w:rsidRPr="00954FEE" w:rsidRDefault="004F78A8" w:rsidP="00B54421">
            <w:pPr>
              <w:rPr>
                <w:rFonts w:asciiTheme="minorHAnsi" w:hAnsiTheme="minorHAnsi" w:cstheme="minorHAnsi"/>
                <w:b/>
                <w:bCs/>
                <w:color w:val="000000" w:themeColor="text1"/>
              </w:rPr>
            </w:pPr>
            <w:r w:rsidRPr="00954FEE">
              <w:rPr>
                <w:rFonts w:asciiTheme="minorHAnsi" w:hAnsiTheme="minorHAnsi" w:cstheme="minorHAnsi"/>
                <w:color w:val="000000" w:themeColor="text1"/>
              </w:rPr>
              <w:t>DLSP-COM</w:t>
            </w:r>
          </w:p>
        </w:tc>
        <w:tc>
          <w:tcPr>
            <w:tcW w:w="860" w:type="pct"/>
            <w:gridSpan w:val="2"/>
            <w:tcBorders>
              <w:top w:val="single" w:sz="4" w:space="0" w:color="auto"/>
              <w:bottom w:val="single" w:sz="4" w:space="0" w:color="auto"/>
            </w:tcBorders>
            <w:vAlign w:val="center"/>
          </w:tcPr>
          <w:p w14:paraId="04237D69" w14:textId="77777777" w:rsidR="004F78A8" w:rsidRPr="00954FEE" w:rsidRDefault="004F78A8" w:rsidP="00B54421">
            <w:pPr>
              <w:jc w:val="center"/>
              <w:rPr>
                <w:rFonts w:asciiTheme="minorHAnsi" w:hAnsiTheme="minorHAnsi" w:cstheme="minorHAnsi"/>
                <w:bCs/>
                <w:color w:val="000000" w:themeColor="text1"/>
              </w:rPr>
            </w:pPr>
            <w:r w:rsidRPr="00954FEE">
              <w:rPr>
                <w:rFonts w:asciiTheme="minorHAnsi" w:hAnsiTheme="minorHAnsi" w:cstheme="minorHAnsi"/>
                <w:bCs/>
                <w:color w:val="000000" w:themeColor="text1"/>
              </w:rPr>
              <w:t>5 ECTS</w:t>
            </w:r>
          </w:p>
        </w:tc>
        <w:tc>
          <w:tcPr>
            <w:tcW w:w="860" w:type="pct"/>
            <w:tcBorders>
              <w:top w:val="single" w:sz="4" w:space="0" w:color="auto"/>
              <w:bottom w:val="single" w:sz="4" w:space="0" w:color="auto"/>
            </w:tcBorders>
            <w:vAlign w:val="center"/>
          </w:tcPr>
          <w:p w14:paraId="608EE488" w14:textId="77777777" w:rsidR="004F78A8" w:rsidRPr="00954FEE" w:rsidRDefault="004F78A8" w:rsidP="00B54421">
            <w:pPr>
              <w:jc w:val="center"/>
              <w:rPr>
                <w:rFonts w:asciiTheme="minorHAnsi" w:hAnsiTheme="minorHAnsi" w:cstheme="minorHAnsi"/>
                <w:bCs/>
                <w:color w:val="000000" w:themeColor="text1"/>
              </w:rPr>
            </w:pPr>
            <w:r w:rsidRPr="00954FEE">
              <w:rPr>
                <w:rFonts w:asciiTheme="minorHAnsi" w:hAnsiTheme="minorHAnsi" w:cstheme="minorHAnsi"/>
                <w:bCs/>
                <w:color w:val="000000" w:themeColor="text1"/>
              </w:rPr>
              <w:t>8 weeks</w:t>
            </w:r>
          </w:p>
        </w:tc>
      </w:tr>
      <w:tr w:rsidR="004F78A8" w:rsidRPr="00954FEE" w14:paraId="3B44D254" w14:textId="77777777" w:rsidTr="00B54421">
        <w:tc>
          <w:tcPr>
            <w:tcW w:w="3281" w:type="pct"/>
            <w:gridSpan w:val="4"/>
            <w:shd w:val="clear" w:color="auto" w:fill="D9E2F3" w:themeFill="accent1" w:themeFillTint="33"/>
            <w:vAlign w:val="center"/>
          </w:tcPr>
          <w:p w14:paraId="5346C954"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 xml:space="preserve">Parent programme(s). </w:t>
            </w:r>
          </w:p>
        </w:tc>
        <w:tc>
          <w:tcPr>
            <w:tcW w:w="860" w:type="pct"/>
            <w:gridSpan w:val="2"/>
            <w:shd w:val="clear" w:color="auto" w:fill="D9E2F3" w:themeFill="accent1" w:themeFillTint="33"/>
            <w:vAlign w:val="center"/>
          </w:tcPr>
          <w:p w14:paraId="5DA67EF2"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Stage of parent programme</w:t>
            </w:r>
          </w:p>
        </w:tc>
        <w:tc>
          <w:tcPr>
            <w:tcW w:w="860" w:type="pct"/>
            <w:shd w:val="clear" w:color="auto" w:fill="D9E2F3" w:themeFill="accent1" w:themeFillTint="33"/>
            <w:vAlign w:val="center"/>
          </w:tcPr>
          <w:p w14:paraId="5760E52D"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Semester No.</w:t>
            </w:r>
          </w:p>
        </w:tc>
      </w:tr>
      <w:tr w:rsidR="004F78A8" w:rsidRPr="00954FEE" w14:paraId="171581E8" w14:textId="77777777" w:rsidTr="00B54421">
        <w:tc>
          <w:tcPr>
            <w:tcW w:w="3281" w:type="pct"/>
            <w:gridSpan w:val="4"/>
            <w:shd w:val="clear" w:color="auto" w:fill="auto"/>
            <w:vAlign w:val="center"/>
          </w:tcPr>
          <w:p w14:paraId="5A45B855"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Diploma in Legal Studies and Practice</w:t>
            </w:r>
          </w:p>
        </w:tc>
        <w:tc>
          <w:tcPr>
            <w:tcW w:w="860" w:type="pct"/>
            <w:gridSpan w:val="2"/>
            <w:shd w:val="clear" w:color="auto" w:fill="auto"/>
            <w:vAlign w:val="center"/>
          </w:tcPr>
          <w:p w14:paraId="3FBD6A39" w14:textId="77777777" w:rsidR="004F78A8" w:rsidRPr="00954FEE" w:rsidRDefault="004F78A8" w:rsidP="00B54421">
            <w:pPr>
              <w:jc w:val="center"/>
              <w:rPr>
                <w:rFonts w:asciiTheme="minorHAnsi" w:hAnsiTheme="minorHAnsi" w:cstheme="minorHAnsi"/>
              </w:rPr>
            </w:pPr>
            <w:r w:rsidRPr="00954FEE">
              <w:rPr>
                <w:rFonts w:asciiTheme="minorHAnsi" w:hAnsiTheme="minorHAnsi" w:cstheme="minorHAnsi"/>
              </w:rPr>
              <w:t>Award Stage</w:t>
            </w:r>
          </w:p>
        </w:tc>
        <w:tc>
          <w:tcPr>
            <w:tcW w:w="860" w:type="pct"/>
            <w:shd w:val="clear" w:color="auto" w:fill="auto"/>
            <w:vAlign w:val="center"/>
          </w:tcPr>
          <w:p w14:paraId="60A0E246" w14:textId="77777777" w:rsidR="004F78A8" w:rsidRPr="00954FEE" w:rsidRDefault="004F78A8" w:rsidP="00B54421">
            <w:pPr>
              <w:jc w:val="center"/>
              <w:rPr>
                <w:rFonts w:asciiTheme="minorHAnsi" w:hAnsiTheme="minorHAnsi" w:cstheme="minorHAnsi"/>
              </w:rPr>
            </w:pPr>
            <w:r w:rsidRPr="00954FEE">
              <w:rPr>
                <w:rFonts w:asciiTheme="minorHAnsi" w:hAnsiTheme="minorHAnsi" w:cstheme="minorHAnsi"/>
              </w:rPr>
              <w:t>Block 4</w:t>
            </w:r>
          </w:p>
        </w:tc>
      </w:tr>
      <w:tr w:rsidR="004F78A8" w:rsidRPr="00954FEE" w14:paraId="1C034EF3" w14:textId="77777777" w:rsidTr="00B54421">
        <w:tc>
          <w:tcPr>
            <w:tcW w:w="3281" w:type="pct"/>
            <w:gridSpan w:val="4"/>
            <w:shd w:val="clear" w:color="auto" w:fill="auto"/>
            <w:vAlign w:val="center"/>
          </w:tcPr>
          <w:p w14:paraId="2F255907"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Certificate in Legal Studies</w:t>
            </w:r>
          </w:p>
        </w:tc>
        <w:tc>
          <w:tcPr>
            <w:tcW w:w="860" w:type="pct"/>
            <w:gridSpan w:val="2"/>
            <w:shd w:val="clear" w:color="auto" w:fill="auto"/>
            <w:vAlign w:val="center"/>
          </w:tcPr>
          <w:p w14:paraId="46D540C7" w14:textId="77777777" w:rsidR="004F78A8" w:rsidRPr="00954FEE" w:rsidRDefault="004F78A8" w:rsidP="00B54421">
            <w:pPr>
              <w:jc w:val="center"/>
              <w:rPr>
                <w:rFonts w:asciiTheme="minorHAnsi" w:hAnsiTheme="minorHAnsi" w:cstheme="minorHAnsi"/>
              </w:rPr>
            </w:pPr>
            <w:r w:rsidRPr="00954FEE">
              <w:rPr>
                <w:rFonts w:asciiTheme="minorHAnsi" w:hAnsiTheme="minorHAnsi" w:cstheme="minorHAnsi"/>
              </w:rPr>
              <w:t>Award Stage</w:t>
            </w:r>
          </w:p>
        </w:tc>
        <w:tc>
          <w:tcPr>
            <w:tcW w:w="860" w:type="pct"/>
            <w:shd w:val="clear" w:color="auto" w:fill="auto"/>
            <w:vAlign w:val="center"/>
          </w:tcPr>
          <w:p w14:paraId="7E22E6F5" w14:textId="77777777" w:rsidR="004F78A8" w:rsidRPr="00954FEE" w:rsidRDefault="004F78A8" w:rsidP="00B54421">
            <w:pPr>
              <w:jc w:val="center"/>
              <w:rPr>
                <w:rFonts w:asciiTheme="minorHAnsi" w:hAnsiTheme="minorHAnsi" w:cstheme="minorHAnsi"/>
              </w:rPr>
            </w:pPr>
            <w:r w:rsidRPr="00954FEE">
              <w:rPr>
                <w:rFonts w:asciiTheme="minorHAnsi" w:hAnsiTheme="minorHAnsi" w:cstheme="minorHAnsi"/>
              </w:rPr>
              <w:t>Block 4</w:t>
            </w:r>
          </w:p>
        </w:tc>
      </w:tr>
      <w:tr w:rsidR="004F78A8" w:rsidRPr="00954FEE" w14:paraId="120521E4" w14:textId="77777777" w:rsidTr="00B54421">
        <w:tc>
          <w:tcPr>
            <w:tcW w:w="1657" w:type="pct"/>
            <w:gridSpan w:val="2"/>
            <w:shd w:val="clear" w:color="auto" w:fill="D9E2F3" w:themeFill="accent1" w:themeFillTint="33"/>
            <w:vAlign w:val="center"/>
          </w:tcPr>
          <w:p w14:paraId="45F88330"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color w:val="000000"/>
                <w:lang w:eastAsia="en-US"/>
              </w:rPr>
              <w:t>Teaching and Learning modes</w:t>
            </w:r>
          </w:p>
        </w:tc>
        <w:tc>
          <w:tcPr>
            <w:tcW w:w="3343" w:type="pct"/>
            <w:gridSpan w:val="5"/>
            <w:shd w:val="clear" w:color="auto" w:fill="D9E2F3" w:themeFill="accent1" w:themeFillTint="33"/>
            <w:vAlign w:val="center"/>
          </w:tcPr>
          <w:p w14:paraId="69CDAA24"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color w:val="000000"/>
                <w:lang w:eastAsia="en-US"/>
              </w:rPr>
              <w:t xml:space="preserve">Proportion </w:t>
            </w:r>
            <w:r w:rsidRPr="00954FEE">
              <w:rPr>
                <w:rFonts w:asciiTheme="minorHAnsi" w:hAnsiTheme="minorHAnsi" w:cstheme="minorHAnsi"/>
                <w:color w:val="000000"/>
                <w:lang w:eastAsia="en-US"/>
              </w:rPr>
              <w:t>(% of Total Directed Learning)</w:t>
            </w:r>
          </w:p>
        </w:tc>
      </w:tr>
      <w:tr w:rsidR="004F78A8" w:rsidRPr="00954FEE" w14:paraId="09D8B169" w14:textId="77777777" w:rsidTr="00B54421">
        <w:trPr>
          <w:trHeight w:val="283"/>
        </w:trPr>
        <w:tc>
          <w:tcPr>
            <w:tcW w:w="1657" w:type="pct"/>
            <w:gridSpan w:val="2"/>
            <w:shd w:val="clear" w:color="auto" w:fill="auto"/>
            <w:vAlign w:val="center"/>
          </w:tcPr>
          <w:p w14:paraId="69F1D023" w14:textId="77777777" w:rsidR="004F78A8" w:rsidRPr="00954FEE" w:rsidRDefault="004F78A8" w:rsidP="00B54421">
            <w:pPr>
              <w:rPr>
                <w:rFonts w:asciiTheme="minorHAnsi" w:hAnsiTheme="minorHAnsi" w:cstheme="minorHAnsi"/>
                <w:b/>
              </w:rPr>
            </w:pPr>
            <w:r w:rsidRPr="00954FEE">
              <w:rPr>
                <w:rFonts w:asciiTheme="minorHAnsi" w:hAnsiTheme="minorHAnsi" w:cstheme="minorHAnsi"/>
                <w:color w:val="000000"/>
                <w:lang w:eastAsia="en-US"/>
              </w:rPr>
              <w:t>Classroom / Face to Face</w:t>
            </w:r>
          </w:p>
        </w:tc>
        <w:tc>
          <w:tcPr>
            <w:tcW w:w="3343" w:type="pct"/>
            <w:gridSpan w:val="5"/>
            <w:shd w:val="clear" w:color="auto" w:fill="auto"/>
            <w:vAlign w:val="center"/>
          </w:tcPr>
          <w:p w14:paraId="7CCAC446" w14:textId="77777777" w:rsidR="004F78A8" w:rsidRPr="00954FEE" w:rsidRDefault="004F78A8" w:rsidP="00B54421">
            <w:pPr>
              <w:rPr>
                <w:rFonts w:asciiTheme="minorHAnsi" w:hAnsiTheme="minorHAnsi" w:cstheme="minorHAnsi"/>
                <w:bCs/>
              </w:rPr>
            </w:pPr>
            <w:r w:rsidRPr="00954FEE">
              <w:rPr>
                <w:rFonts w:asciiTheme="minorHAnsi" w:hAnsiTheme="minorHAnsi" w:cstheme="minorHAnsi"/>
                <w:bCs/>
              </w:rPr>
              <w:t>20%</w:t>
            </w:r>
          </w:p>
        </w:tc>
      </w:tr>
      <w:tr w:rsidR="004F78A8" w:rsidRPr="00954FEE" w14:paraId="48D05328" w14:textId="77777777" w:rsidTr="00B54421">
        <w:trPr>
          <w:trHeight w:val="283"/>
        </w:trPr>
        <w:tc>
          <w:tcPr>
            <w:tcW w:w="1657" w:type="pct"/>
            <w:gridSpan w:val="2"/>
            <w:shd w:val="clear" w:color="auto" w:fill="auto"/>
            <w:vAlign w:val="center"/>
          </w:tcPr>
          <w:p w14:paraId="591AC5E9" w14:textId="77777777" w:rsidR="004F78A8" w:rsidRPr="00954FEE" w:rsidRDefault="004F78A8" w:rsidP="00B54421">
            <w:pPr>
              <w:rPr>
                <w:rFonts w:asciiTheme="minorHAnsi" w:hAnsiTheme="minorHAnsi" w:cstheme="minorHAnsi"/>
              </w:rPr>
            </w:pPr>
            <w:r w:rsidRPr="00954FEE">
              <w:rPr>
                <w:rFonts w:asciiTheme="minorHAnsi" w:hAnsiTheme="minorHAnsi" w:cstheme="minorHAnsi"/>
                <w:color w:val="000000"/>
                <w:lang w:eastAsia="en-US"/>
              </w:rPr>
              <w:t>Workplace</w:t>
            </w:r>
          </w:p>
        </w:tc>
        <w:tc>
          <w:tcPr>
            <w:tcW w:w="3343" w:type="pct"/>
            <w:gridSpan w:val="5"/>
            <w:shd w:val="clear" w:color="auto" w:fill="auto"/>
            <w:vAlign w:val="center"/>
          </w:tcPr>
          <w:p w14:paraId="73276165"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w:t>
            </w:r>
          </w:p>
        </w:tc>
      </w:tr>
      <w:tr w:rsidR="004F78A8" w:rsidRPr="00954FEE" w14:paraId="10822A7F" w14:textId="77777777" w:rsidTr="00B54421">
        <w:trPr>
          <w:trHeight w:val="283"/>
        </w:trPr>
        <w:tc>
          <w:tcPr>
            <w:tcW w:w="1657" w:type="pct"/>
            <w:gridSpan w:val="2"/>
            <w:shd w:val="clear" w:color="auto" w:fill="auto"/>
            <w:vAlign w:val="center"/>
          </w:tcPr>
          <w:p w14:paraId="7B12FBEC" w14:textId="77777777" w:rsidR="004F78A8" w:rsidRPr="00954FEE" w:rsidRDefault="004F78A8" w:rsidP="00B54421">
            <w:pPr>
              <w:rPr>
                <w:rFonts w:asciiTheme="minorHAnsi" w:hAnsiTheme="minorHAnsi" w:cstheme="minorHAnsi"/>
              </w:rPr>
            </w:pPr>
            <w:r w:rsidRPr="00954FEE">
              <w:rPr>
                <w:rFonts w:asciiTheme="minorHAnsi" w:hAnsiTheme="minorHAnsi" w:cstheme="minorHAnsi"/>
                <w:color w:val="000000"/>
                <w:lang w:eastAsia="en-US"/>
              </w:rPr>
              <w:t>Online</w:t>
            </w:r>
          </w:p>
        </w:tc>
        <w:tc>
          <w:tcPr>
            <w:tcW w:w="3343" w:type="pct"/>
            <w:gridSpan w:val="5"/>
            <w:shd w:val="clear" w:color="auto" w:fill="auto"/>
            <w:vAlign w:val="center"/>
          </w:tcPr>
          <w:p w14:paraId="22577722"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w:t>
            </w:r>
          </w:p>
        </w:tc>
      </w:tr>
      <w:tr w:rsidR="004F78A8" w:rsidRPr="00954FEE" w14:paraId="70AE1E54" w14:textId="77777777" w:rsidTr="00B54421">
        <w:trPr>
          <w:trHeight w:val="283"/>
        </w:trPr>
        <w:tc>
          <w:tcPr>
            <w:tcW w:w="1657" w:type="pct"/>
            <w:gridSpan w:val="2"/>
            <w:shd w:val="clear" w:color="auto" w:fill="auto"/>
            <w:vAlign w:val="center"/>
          </w:tcPr>
          <w:p w14:paraId="6CA50720" w14:textId="77777777" w:rsidR="004F78A8" w:rsidRPr="00954FEE" w:rsidRDefault="004F78A8" w:rsidP="00B54421">
            <w:pPr>
              <w:rPr>
                <w:rFonts w:asciiTheme="minorHAnsi" w:hAnsiTheme="minorHAnsi" w:cstheme="minorHAnsi"/>
                <w:color w:val="000000"/>
                <w:lang w:eastAsia="en-US"/>
              </w:rPr>
            </w:pPr>
            <w:r w:rsidRPr="00954FEE">
              <w:rPr>
                <w:rFonts w:asciiTheme="minorHAnsi" w:hAnsiTheme="minorHAnsi" w:cstheme="minorHAnsi"/>
                <w:color w:val="000000"/>
                <w:lang w:eastAsia="en-US"/>
              </w:rPr>
              <w:t>Other (Identify)</w:t>
            </w:r>
          </w:p>
        </w:tc>
        <w:tc>
          <w:tcPr>
            <w:tcW w:w="3343" w:type="pct"/>
            <w:gridSpan w:val="5"/>
            <w:shd w:val="clear" w:color="auto" w:fill="auto"/>
            <w:vAlign w:val="center"/>
          </w:tcPr>
          <w:p w14:paraId="120F5149" w14:textId="77777777" w:rsidR="004F78A8" w:rsidRPr="00954FEE" w:rsidRDefault="004F78A8" w:rsidP="00B54421">
            <w:pPr>
              <w:rPr>
                <w:rFonts w:asciiTheme="minorHAnsi" w:hAnsiTheme="minorHAnsi" w:cstheme="minorHAnsi"/>
                <w:bCs/>
              </w:rPr>
            </w:pPr>
            <w:r w:rsidRPr="00954FEE">
              <w:rPr>
                <w:rFonts w:asciiTheme="minorHAnsi" w:hAnsiTheme="minorHAnsi" w:cstheme="minorHAnsi"/>
                <w:bCs/>
              </w:rPr>
              <w:t>80%</w:t>
            </w:r>
          </w:p>
        </w:tc>
      </w:tr>
      <w:tr w:rsidR="004F78A8" w:rsidRPr="00954FEE" w14:paraId="2742C8A1" w14:textId="77777777" w:rsidTr="00B54421">
        <w:tc>
          <w:tcPr>
            <w:tcW w:w="5000" w:type="pct"/>
            <w:gridSpan w:val="7"/>
            <w:shd w:val="clear" w:color="auto" w:fill="D9E2F3" w:themeFill="accent1" w:themeFillTint="33"/>
            <w:vAlign w:val="center"/>
          </w:tcPr>
          <w:p w14:paraId="62CE8149"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Entry requirements (statement of knowledge, skill and competence)</w:t>
            </w:r>
          </w:p>
        </w:tc>
      </w:tr>
      <w:tr w:rsidR="004F78A8" w:rsidRPr="00954FEE" w14:paraId="4A7C8790" w14:textId="77777777" w:rsidTr="00B54421">
        <w:tc>
          <w:tcPr>
            <w:tcW w:w="5000" w:type="pct"/>
            <w:gridSpan w:val="7"/>
            <w:shd w:val="clear" w:color="auto" w:fill="auto"/>
            <w:vAlign w:val="center"/>
          </w:tcPr>
          <w:p w14:paraId="48178CAC"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Learners must comply with and mee</w:t>
            </w:r>
            <w:r>
              <w:rPr>
                <w:rFonts w:asciiTheme="minorHAnsi" w:hAnsiTheme="minorHAnsi" w:cstheme="minorHAnsi"/>
              </w:rPr>
              <w:t>t programme entry requirements.</w:t>
            </w:r>
          </w:p>
        </w:tc>
      </w:tr>
      <w:tr w:rsidR="004F78A8" w:rsidRPr="00954FEE" w14:paraId="56DC7FA3" w14:textId="77777777" w:rsidTr="00B54421">
        <w:tc>
          <w:tcPr>
            <w:tcW w:w="2186" w:type="pct"/>
            <w:gridSpan w:val="3"/>
            <w:shd w:val="clear" w:color="auto" w:fill="D9E2F3" w:themeFill="accent1" w:themeFillTint="33"/>
            <w:vAlign w:val="center"/>
          </w:tcPr>
          <w:p w14:paraId="26697A6D"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Maximum number of learners per instance of the module</w:t>
            </w:r>
          </w:p>
        </w:tc>
        <w:tc>
          <w:tcPr>
            <w:tcW w:w="2814" w:type="pct"/>
            <w:gridSpan w:val="4"/>
            <w:shd w:val="clear" w:color="auto" w:fill="FFFFFF" w:themeFill="background1"/>
            <w:vAlign w:val="center"/>
          </w:tcPr>
          <w:p w14:paraId="378A7CA4"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80</w:t>
            </w:r>
            <w:r>
              <w:rPr>
                <w:rFonts w:asciiTheme="minorHAnsi" w:hAnsiTheme="minorHAnsi" w:cstheme="minorHAnsi"/>
              </w:rPr>
              <w:t xml:space="preserve"> learners</w:t>
            </w:r>
          </w:p>
        </w:tc>
      </w:tr>
      <w:tr w:rsidR="004F78A8" w:rsidRPr="00954FEE" w14:paraId="70463384" w14:textId="77777777" w:rsidTr="00B54421">
        <w:tc>
          <w:tcPr>
            <w:tcW w:w="2186" w:type="pct"/>
            <w:gridSpan w:val="3"/>
            <w:shd w:val="clear" w:color="auto" w:fill="D9E2F3" w:themeFill="accent1" w:themeFillTint="33"/>
            <w:vAlign w:val="center"/>
          </w:tcPr>
          <w:p w14:paraId="641964CF"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 xml:space="preserve">Average (over the duration of the module) of the contact hours per week </w:t>
            </w:r>
          </w:p>
        </w:tc>
        <w:tc>
          <w:tcPr>
            <w:tcW w:w="2814" w:type="pct"/>
            <w:gridSpan w:val="4"/>
            <w:shd w:val="clear" w:color="auto" w:fill="FFFFFF" w:themeFill="background1"/>
            <w:vAlign w:val="center"/>
          </w:tcPr>
          <w:p w14:paraId="3D3D35D0"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4</w:t>
            </w:r>
            <w:r>
              <w:rPr>
                <w:rFonts w:asciiTheme="minorHAnsi" w:hAnsiTheme="minorHAnsi" w:cstheme="minorHAnsi"/>
              </w:rPr>
              <w:t xml:space="preserve"> hours</w:t>
            </w:r>
          </w:p>
        </w:tc>
      </w:tr>
      <w:tr w:rsidR="004F78A8" w:rsidRPr="00954FEE" w14:paraId="0A58E042" w14:textId="77777777" w:rsidTr="00B54421">
        <w:tc>
          <w:tcPr>
            <w:tcW w:w="2186" w:type="pct"/>
            <w:gridSpan w:val="3"/>
            <w:shd w:val="clear" w:color="auto" w:fill="D9E2F3" w:themeFill="accent1" w:themeFillTint="33"/>
            <w:vAlign w:val="center"/>
          </w:tcPr>
          <w:p w14:paraId="50334FAE"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Pre-requisite module title(s) (if any)</w:t>
            </w:r>
          </w:p>
        </w:tc>
        <w:tc>
          <w:tcPr>
            <w:tcW w:w="2814" w:type="pct"/>
            <w:gridSpan w:val="4"/>
            <w:shd w:val="clear" w:color="auto" w:fill="FFFFFF" w:themeFill="background1"/>
            <w:vAlign w:val="center"/>
          </w:tcPr>
          <w:p w14:paraId="5B84A272"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n/a</w:t>
            </w:r>
          </w:p>
        </w:tc>
      </w:tr>
      <w:tr w:rsidR="004F78A8" w:rsidRPr="00954FEE" w14:paraId="483B201E" w14:textId="77777777" w:rsidTr="00B54421">
        <w:tc>
          <w:tcPr>
            <w:tcW w:w="2186" w:type="pct"/>
            <w:gridSpan w:val="3"/>
            <w:shd w:val="clear" w:color="auto" w:fill="D9E2F3" w:themeFill="accent1" w:themeFillTint="33"/>
            <w:vAlign w:val="center"/>
          </w:tcPr>
          <w:p w14:paraId="0EA00C96"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Co-requisite module title(s) (if any)</w:t>
            </w:r>
          </w:p>
        </w:tc>
        <w:tc>
          <w:tcPr>
            <w:tcW w:w="2814" w:type="pct"/>
            <w:gridSpan w:val="4"/>
            <w:shd w:val="clear" w:color="auto" w:fill="FFFFFF" w:themeFill="background1"/>
            <w:vAlign w:val="center"/>
          </w:tcPr>
          <w:p w14:paraId="2D0F8A58"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n/a</w:t>
            </w:r>
          </w:p>
        </w:tc>
      </w:tr>
      <w:tr w:rsidR="004F78A8" w:rsidRPr="00954FEE" w14:paraId="46AAEF03" w14:textId="77777777" w:rsidTr="00B54421">
        <w:tc>
          <w:tcPr>
            <w:tcW w:w="2186" w:type="pct"/>
            <w:gridSpan w:val="3"/>
            <w:shd w:val="clear" w:color="auto" w:fill="D9E2F3" w:themeFill="accent1" w:themeFillTint="33"/>
            <w:vAlign w:val="center"/>
          </w:tcPr>
          <w:p w14:paraId="1F4C0A0C"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Is this a capstone module? (Yes or No)</w:t>
            </w:r>
          </w:p>
        </w:tc>
        <w:tc>
          <w:tcPr>
            <w:tcW w:w="2814" w:type="pct"/>
            <w:gridSpan w:val="4"/>
            <w:shd w:val="clear" w:color="auto" w:fill="FFFFFF" w:themeFill="background1"/>
            <w:vAlign w:val="center"/>
          </w:tcPr>
          <w:p w14:paraId="432A3E75"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No</w:t>
            </w:r>
          </w:p>
        </w:tc>
      </w:tr>
      <w:tr w:rsidR="004F78A8" w:rsidRPr="00954FEE" w14:paraId="67B0C23C" w14:textId="77777777" w:rsidTr="00B54421">
        <w:tc>
          <w:tcPr>
            <w:tcW w:w="5000" w:type="pct"/>
            <w:gridSpan w:val="7"/>
            <w:shd w:val="clear" w:color="auto" w:fill="D9E2F3" w:themeFill="accent1" w:themeFillTint="33"/>
            <w:vAlign w:val="center"/>
          </w:tcPr>
          <w:p w14:paraId="26A01E22" w14:textId="77777777" w:rsidR="004F78A8" w:rsidRPr="00954FEE" w:rsidRDefault="004F78A8" w:rsidP="00B54421">
            <w:pPr>
              <w:rPr>
                <w:rFonts w:asciiTheme="minorHAnsi" w:hAnsiTheme="minorHAnsi" w:cstheme="minorHAnsi"/>
                <w:b/>
              </w:rPr>
            </w:pPr>
            <w:r w:rsidRPr="00954FEE">
              <w:rPr>
                <w:rFonts w:asciiTheme="minorHAnsi" w:hAnsiTheme="minorHAnsi" w:cstheme="minorHAnsi"/>
                <w:b/>
              </w:rPr>
              <w:t>Module-specific physical resources and support required</w:t>
            </w:r>
            <w:r w:rsidRPr="00954FEE">
              <w:rPr>
                <w:rFonts w:asciiTheme="minorHAnsi" w:hAnsiTheme="minorHAnsi" w:cstheme="minorHAnsi"/>
              </w:rPr>
              <w:t xml:space="preserve"> </w:t>
            </w:r>
            <w:r w:rsidRPr="00954FEE">
              <w:rPr>
                <w:rFonts w:asciiTheme="minorHAnsi" w:hAnsiTheme="minorHAnsi" w:cstheme="minorHAnsi"/>
                <w:b/>
              </w:rPr>
              <w:t>per centre (or instance of the module)</w:t>
            </w:r>
          </w:p>
        </w:tc>
      </w:tr>
      <w:tr w:rsidR="004F78A8" w:rsidRPr="00954FEE" w14:paraId="5A424662" w14:textId="77777777" w:rsidTr="00B54421">
        <w:tc>
          <w:tcPr>
            <w:tcW w:w="5000" w:type="pct"/>
            <w:gridSpan w:val="7"/>
            <w:shd w:val="clear" w:color="auto" w:fill="FFFFFF" w:themeFill="background1"/>
            <w:vAlign w:val="center"/>
          </w:tcPr>
          <w:p w14:paraId="0318675F"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Lecture room with Wi-Fi access, digital recording facilities, Zoo</w:t>
            </w:r>
            <w:r>
              <w:rPr>
                <w:rFonts w:asciiTheme="minorHAnsi" w:hAnsiTheme="minorHAnsi" w:cstheme="minorHAnsi"/>
              </w:rPr>
              <w:t>m access and digital projector.</w:t>
            </w:r>
          </w:p>
        </w:tc>
      </w:tr>
      <w:tr w:rsidR="004F78A8" w:rsidRPr="00954FEE" w14:paraId="0F3A1D98" w14:textId="77777777" w:rsidTr="00B54421">
        <w:tc>
          <w:tcPr>
            <w:tcW w:w="5000" w:type="pct"/>
            <w:gridSpan w:val="7"/>
            <w:shd w:val="clear" w:color="auto" w:fill="D9E2F3" w:themeFill="accent1" w:themeFillTint="33"/>
            <w:vAlign w:val="center"/>
          </w:tcPr>
          <w:p w14:paraId="3B92F126" w14:textId="77777777" w:rsidR="004F78A8" w:rsidRPr="00954FEE" w:rsidRDefault="004F78A8" w:rsidP="00B54421">
            <w:pPr>
              <w:rPr>
                <w:rFonts w:asciiTheme="minorHAnsi" w:hAnsiTheme="minorHAnsi" w:cstheme="minorHAnsi"/>
              </w:rPr>
            </w:pPr>
            <w:r w:rsidRPr="00954FEE">
              <w:rPr>
                <w:rFonts w:asciiTheme="minorHAnsi" w:hAnsiTheme="minorHAnsi" w:cstheme="minorHAnsi"/>
                <w:b/>
              </w:rPr>
              <w:t xml:space="preserve">Specification of the qualifications (academic, pedagogical and professional/occupational) and experience required of staff working in this module. </w:t>
            </w:r>
            <w:r w:rsidRPr="00954FEE">
              <w:rPr>
                <w:rFonts w:asciiTheme="minorHAnsi" w:hAnsiTheme="minorHAnsi" w:cstheme="minorHAnsi"/>
                <w:bCs/>
              </w:rPr>
              <w:t>(Staff includes workplace personnel who are responsible for learners such as apprentices, trainees and learners in clinical placements)</w:t>
            </w:r>
            <w:r w:rsidRPr="00954FEE">
              <w:rPr>
                <w:rFonts w:asciiTheme="minorHAnsi" w:hAnsiTheme="minorHAnsi" w:cstheme="minorHAnsi"/>
                <w:b/>
              </w:rPr>
              <w:t xml:space="preserve"> </w:t>
            </w:r>
          </w:p>
        </w:tc>
      </w:tr>
      <w:tr w:rsidR="004F78A8" w:rsidRPr="00954FEE" w14:paraId="034456C3" w14:textId="77777777" w:rsidTr="00B54421">
        <w:tc>
          <w:tcPr>
            <w:tcW w:w="1238" w:type="pct"/>
            <w:vAlign w:val="center"/>
          </w:tcPr>
          <w:p w14:paraId="438DFB14" w14:textId="77777777" w:rsidR="004F78A8" w:rsidRPr="00954FEE" w:rsidRDefault="004F78A8" w:rsidP="00B54421">
            <w:pPr>
              <w:rPr>
                <w:rFonts w:asciiTheme="minorHAnsi" w:hAnsiTheme="minorHAnsi" w:cstheme="minorHAnsi"/>
              </w:rPr>
            </w:pPr>
            <w:r w:rsidRPr="00954FEE">
              <w:rPr>
                <w:rFonts w:asciiTheme="minorHAnsi" w:hAnsiTheme="minorHAnsi" w:cstheme="minorHAnsi"/>
                <w:b/>
                <w:lang w:eastAsia="en-US"/>
              </w:rPr>
              <w:t>Role e.g. Tutor, Mentor etc</w:t>
            </w:r>
          </w:p>
        </w:tc>
        <w:tc>
          <w:tcPr>
            <w:tcW w:w="2707" w:type="pct"/>
            <w:gridSpan w:val="4"/>
            <w:vAlign w:val="center"/>
          </w:tcPr>
          <w:p w14:paraId="38E60436" w14:textId="77777777" w:rsidR="004F78A8" w:rsidRPr="00954FEE" w:rsidRDefault="004F78A8" w:rsidP="00B54421">
            <w:pPr>
              <w:rPr>
                <w:rFonts w:asciiTheme="minorHAnsi" w:hAnsiTheme="minorHAnsi" w:cstheme="minorHAnsi"/>
              </w:rPr>
            </w:pPr>
            <w:r w:rsidRPr="00954FEE">
              <w:rPr>
                <w:rFonts w:asciiTheme="minorHAnsi" w:hAnsiTheme="minorHAnsi" w:cstheme="minorHAnsi"/>
                <w:b/>
                <w:bCs/>
              </w:rPr>
              <w:t xml:space="preserve">Qualifications &amp; experience required: </w:t>
            </w:r>
          </w:p>
        </w:tc>
        <w:tc>
          <w:tcPr>
            <w:tcW w:w="1055" w:type="pct"/>
            <w:gridSpan w:val="2"/>
            <w:vAlign w:val="center"/>
          </w:tcPr>
          <w:p w14:paraId="6B3C4C34" w14:textId="77777777" w:rsidR="004F78A8" w:rsidRPr="00954FEE" w:rsidRDefault="004F78A8" w:rsidP="00B54421">
            <w:pPr>
              <w:rPr>
                <w:rFonts w:asciiTheme="minorHAnsi" w:hAnsiTheme="minorHAnsi" w:cstheme="minorHAnsi"/>
              </w:rPr>
            </w:pPr>
            <w:r w:rsidRPr="00954FEE">
              <w:rPr>
                <w:rFonts w:asciiTheme="minorHAnsi" w:hAnsiTheme="minorHAnsi" w:cstheme="minorHAnsi"/>
                <w:b/>
                <w:lang w:eastAsia="en-US"/>
              </w:rPr>
              <w:t># of Staff with this profile (WTEs)</w:t>
            </w:r>
          </w:p>
        </w:tc>
      </w:tr>
      <w:tr w:rsidR="004F78A8" w:rsidRPr="00954FEE" w14:paraId="61716338" w14:textId="77777777" w:rsidTr="00B54421">
        <w:tc>
          <w:tcPr>
            <w:tcW w:w="1238" w:type="pct"/>
            <w:vAlign w:val="center"/>
          </w:tcPr>
          <w:p w14:paraId="6FC131A8" w14:textId="77777777" w:rsidR="004F78A8" w:rsidRPr="00954FEE" w:rsidRDefault="004F78A8" w:rsidP="00B54421">
            <w:pPr>
              <w:rPr>
                <w:rFonts w:asciiTheme="minorHAnsi" w:hAnsiTheme="minorHAnsi" w:cstheme="minorHAnsi"/>
              </w:rPr>
            </w:pPr>
            <w:r w:rsidRPr="00954FEE">
              <w:rPr>
                <w:rFonts w:asciiTheme="minorHAnsi" w:hAnsiTheme="minorHAnsi" w:cstheme="minorHAnsi"/>
              </w:rPr>
              <w:t>Lecturer</w:t>
            </w:r>
          </w:p>
        </w:tc>
        <w:tc>
          <w:tcPr>
            <w:tcW w:w="2707" w:type="pct"/>
            <w:gridSpan w:val="4"/>
            <w:vAlign w:val="center"/>
          </w:tcPr>
          <w:p w14:paraId="619AEA6D" w14:textId="77777777" w:rsidR="004F78A8" w:rsidRPr="00954FEE" w:rsidRDefault="004F78A8" w:rsidP="00B54421">
            <w:pPr>
              <w:suppressAutoHyphens w:val="0"/>
              <w:rPr>
                <w:rFonts w:asciiTheme="minorHAnsi" w:hAnsiTheme="minorHAnsi" w:cstheme="minorHAnsi"/>
              </w:rPr>
            </w:pPr>
            <w:r w:rsidRPr="00325408">
              <w:rPr>
                <w:rFonts w:asciiTheme="minorHAnsi" w:hAnsiTheme="minorHAnsi" w:cstheme="minorHAnsi"/>
                <w:szCs w:val="22"/>
              </w:rPr>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rFonts w:asciiTheme="minorHAnsi" w:hAnsiTheme="minorHAnsi" w:cstheme="minorHAnsi"/>
                <w:bCs/>
                <w:szCs w:val="22"/>
              </w:rPr>
              <w:t>Industry experience is beneficial but not a requirement.</w:t>
            </w:r>
          </w:p>
        </w:tc>
        <w:tc>
          <w:tcPr>
            <w:tcW w:w="1055" w:type="pct"/>
            <w:gridSpan w:val="2"/>
            <w:vAlign w:val="center"/>
          </w:tcPr>
          <w:p w14:paraId="0F2033D6" w14:textId="77777777" w:rsidR="004F78A8" w:rsidRPr="00954FEE" w:rsidRDefault="004F78A8" w:rsidP="00B54421">
            <w:pPr>
              <w:jc w:val="center"/>
              <w:rPr>
                <w:rFonts w:asciiTheme="minorHAnsi" w:hAnsiTheme="minorHAnsi" w:cstheme="minorHAnsi"/>
              </w:rPr>
            </w:pPr>
            <w:r>
              <w:rPr>
                <w:rFonts w:asciiTheme="minorHAnsi" w:hAnsiTheme="minorHAnsi" w:cstheme="minorHAnsi"/>
              </w:rPr>
              <w:t>0.2 WTE</w:t>
            </w:r>
          </w:p>
        </w:tc>
      </w:tr>
    </w:tbl>
    <w:p w14:paraId="55F84A50" w14:textId="77777777" w:rsidR="004F78A8" w:rsidRDefault="004F78A8" w:rsidP="004F78A8">
      <w:pPr>
        <w:rPr>
          <w:rFonts w:asciiTheme="minorHAnsi" w:hAnsiTheme="minorHAnsi" w:cstheme="minorHAnsi"/>
          <w:szCs w:val="22"/>
        </w:rPr>
      </w:pPr>
    </w:p>
    <w:tbl>
      <w:tblPr>
        <w:tblStyle w:val="TableGrid"/>
        <w:tblW w:w="5000" w:type="pct"/>
        <w:tblInd w:w="0" w:type="dxa"/>
        <w:tblLook w:val="04A0" w:firstRow="1" w:lastRow="0" w:firstColumn="1" w:lastColumn="0" w:noHBand="0" w:noVBand="1"/>
      </w:tblPr>
      <w:tblGrid>
        <w:gridCol w:w="4503"/>
        <w:gridCol w:w="2254"/>
        <w:gridCol w:w="2253"/>
      </w:tblGrid>
      <w:tr w:rsidR="004F78A8" w:rsidRPr="00954FEE" w14:paraId="279BA6F2" w14:textId="77777777" w:rsidTr="00B54421">
        <w:tc>
          <w:tcPr>
            <w:tcW w:w="5000" w:type="pct"/>
            <w:gridSpan w:val="3"/>
            <w:shd w:val="clear" w:color="auto" w:fill="D9E2F3" w:themeFill="accent1" w:themeFillTint="33"/>
            <w:vAlign w:val="center"/>
          </w:tcPr>
          <w:p w14:paraId="3147B947" w14:textId="77777777" w:rsidR="004F78A8" w:rsidRPr="00954FEE" w:rsidRDefault="004F78A8" w:rsidP="00B54421">
            <w:pPr>
              <w:rPr>
                <w:rFonts w:asciiTheme="minorHAnsi" w:hAnsiTheme="minorHAnsi" w:cstheme="minorHAnsi"/>
                <w:b/>
                <w:szCs w:val="22"/>
              </w:rPr>
            </w:pPr>
            <w:r w:rsidRPr="00954FEE">
              <w:rPr>
                <w:rFonts w:asciiTheme="minorHAnsi" w:hAnsiTheme="minorHAnsi" w:cstheme="minorHAnsi"/>
                <w:b/>
                <w:szCs w:val="22"/>
              </w:rPr>
              <w:t xml:space="preserve">Analysis of required learning effort </w:t>
            </w:r>
          </w:p>
        </w:tc>
      </w:tr>
      <w:tr w:rsidR="004F78A8" w:rsidRPr="00954FEE" w14:paraId="668D1564" w14:textId="77777777" w:rsidTr="00B54421">
        <w:trPr>
          <w:trHeight w:val="103"/>
        </w:trPr>
        <w:tc>
          <w:tcPr>
            <w:tcW w:w="2499" w:type="pct"/>
            <w:shd w:val="clear" w:color="auto" w:fill="D9E2F3" w:themeFill="accent1" w:themeFillTint="33"/>
            <w:vAlign w:val="center"/>
          </w:tcPr>
          <w:p w14:paraId="196056B3"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b/>
                <w:szCs w:val="22"/>
              </w:rPr>
              <w:t>*Effort while in contact with staff</w:t>
            </w:r>
          </w:p>
        </w:tc>
        <w:tc>
          <w:tcPr>
            <w:tcW w:w="1250" w:type="pct"/>
            <w:shd w:val="clear" w:color="auto" w:fill="D9E2F3" w:themeFill="accent1" w:themeFillTint="33"/>
            <w:vAlign w:val="center"/>
          </w:tcPr>
          <w:p w14:paraId="1FEAE121" w14:textId="77777777" w:rsidR="004F78A8" w:rsidRPr="00954FEE" w:rsidRDefault="004F78A8" w:rsidP="00B54421">
            <w:pPr>
              <w:jc w:val="center"/>
              <w:rPr>
                <w:rFonts w:asciiTheme="minorHAnsi" w:hAnsiTheme="minorHAnsi" w:cstheme="minorHAnsi"/>
                <w:b/>
                <w:szCs w:val="22"/>
              </w:rPr>
            </w:pPr>
            <w:r w:rsidRPr="00954FEE">
              <w:rPr>
                <w:rFonts w:asciiTheme="minorHAnsi" w:hAnsiTheme="minorHAnsi" w:cstheme="minorHAnsi"/>
                <w:b/>
                <w:szCs w:val="22"/>
              </w:rPr>
              <w:t>Minimum ratio teacher / learner</w:t>
            </w:r>
          </w:p>
        </w:tc>
        <w:tc>
          <w:tcPr>
            <w:tcW w:w="1250" w:type="pct"/>
            <w:shd w:val="clear" w:color="auto" w:fill="D9E2F3" w:themeFill="accent1" w:themeFillTint="33"/>
            <w:vAlign w:val="center"/>
          </w:tcPr>
          <w:p w14:paraId="10CB6923" w14:textId="77777777" w:rsidR="004F78A8" w:rsidRPr="00954FEE" w:rsidRDefault="004F78A8" w:rsidP="00B54421">
            <w:pPr>
              <w:jc w:val="center"/>
              <w:rPr>
                <w:rFonts w:asciiTheme="minorHAnsi" w:hAnsiTheme="minorHAnsi" w:cstheme="minorHAnsi"/>
                <w:szCs w:val="22"/>
              </w:rPr>
            </w:pPr>
            <w:r w:rsidRPr="00954FEE">
              <w:rPr>
                <w:rFonts w:asciiTheme="minorHAnsi" w:hAnsiTheme="minorHAnsi" w:cstheme="minorHAnsi"/>
                <w:b/>
                <w:szCs w:val="22"/>
              </w:rPr>
              <w:t>Hours</w:t>
            </w:r>
          </w:p>
        </w:tc>
      </w:tr>
      <w:tr w:rsidR="004F78A8" w:rsidRPr="00954FEE" w14:paraId="1564C3D9" w14:textId="77777777" w:rsidTr="00B54421">
        <w:trPr>
          <w:trHeight w:val="70"/>
        </w:trPr>
        <w:tc>
          <w:tcPr>
            <w:tcW w:w="2499" w:type="pct"/>
            <w:shd w:val="clear" w:color="auto" w:fill="D9E2F3" w:themeFill="accent1" w:themeFillTint="33"/>
            <w:vAlign w:val="center"/>
          </w:tcPr>
          <w:p w14:paraId="4D7A8793"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szCs w:val="22"/>
              </w:rPr>
              <w:tab/>
              <w:t>Classroom and demonstrations</w:t>
            </w:r>
          </w:p>
        </w:tc>
        <w:tc>
          <w:tcPr>
            <w:tcW w:w="1250" w:type="pct"/>
            <w:vAlign w:val="center"/>
          </w:tcPr>
          <w:p w14:paraId="70B001F8" w14:textId="77777777" w:rsidR="004F78A8" w:rsidRPr="00954FEE" w:rsidRDefault="004F78A8" w:rsidP="00B54421">
            <w:pPr>
              <w:jc w:val="center"/>
              <w:rPr>
                <w:rFonts w:asciiTheme="minorHAnsi" w:hAnsiTheme="minorHAnsi" w:cstheme="minorHAnsi"/>
                <w:szCs w:val="22"/>
              </w:rPr>
            </w:pPr>
            <w:r w:rsidRPr="00954FEE">
              <w:rPr>
                <w:rFonts w:asciiTheme="minorHAnsi" w:hAnsiTheme="minorHAnsi" w:cstheme="minorHAnsi"/>
                <w:szCs w:val="22"/>
              </w:rPr>
              <w:t>1:80</w:t>
            </w:r>
          </w:p>
        </w:tc>
        <w:tc>
          <w:tcPr>
            <w:tcW w:w="1250" w:type="pct"/>
            <w:vAlign w:val="center"/>
          </w:tcPr>
          <w:p w14:paraId="2B4872B1" w14:textId="77777777" w:rsidR="004F78A8" w:rsidRPr="00954FEE" w:rsidRDefault="004F78A8" w:rsidP="00B54421">
            <w:pPr>
              <w:jc w:val="center"/>
              <w:rPr>
                <w:rFonts w:asciiTheme="minorHAnsi" w:hAnsiTheme="minorHAnsi" w:cstheme="minorHAnsi"/>
                <w:szCs w:val="22"/>
              </w:rPr>
            </w:pPr>
            <w:r w:rsidRPr="00954FEE">
              <w:rPr>
                <w:rFonts w:asciiTheme="minorHAnsi" w:hAnsiTheme="minorHAnsi" w:cstheme="minorHAnsi"/>
                <w:szCs w:val="22"/>
              </w:rPr>
              <w:t>21</w:t>
            </w:r>
          </w:p>
        </w:tc>
      </w:tr>
      <w:tr w:rsidR="004F78A8" w:rsidRPr="00954FEE" w14:paraId="2EAB2718" w14:textId="77777777" w:rsidTr="00B54421">
        <w:tc>
          <w:tcPr>
            <w:tcW w:w="2499" w:type="pct"/>
            <w:shd w:val="clear" w:color="auto" w:fill="D9E2F3" w:themeFill="accent1" w:themeFillTint="33"/>
            <w:vAlign w:val="center"/>
          </w:tcPr>
          <w:p w14:paraId="55BA239D" w14:textId="77777777" w:rsidR="004F78A8" w:rsidRPr="00954FEE" w:rsidRDefault="004F78A8" w:rsidP="00B54421">
            <w:pPr>
              <w:pStyle w:val="ListParagraph"/>
              <w:rPr>
                <w:rFonts w:asciiTheme="minorHAnsi" w:hAnsiTheme="minorHAnsi" w:cstheme="minorHAnsi"/>
                <w:szCs w:val="22"/>
              </w:rPr>
            </w:pPr>
            <w:r w:rsidRPr="00954FEE">
              <w:rPr>
                <w:rFonts w:asciiTheme="minorHAnsi" w:hAnsiTheme="minorHAnsi" w:cstheme="minorHAnsi"/>
                <w:szCs w:val="22"/>
              </w:rPr>
              <w:t>Mentoring and small-group teaching</w:t>
            </w:r>
          </w:p>
        </w:tc>
        <w:tc>
          <w:tcPr>
            <w:tcW w:w="1250" w:type="pct"/>
            <w:vAlign w:val="center"/>
          </w:tcPr>
          <w:p w14:paraId="60F51852" w14:textId="77777777" w:rsidR="004F78A8" w:rsidRPr="00954FEE" w:rsidRDefault="004F78A8" w:rsidP="00B54421">
            <w:pPr>
              <w:jc w:val="center"/>
              <w:rPr>
                <w:rFonts w:asciiTheme="minorHAnsi" w:hAnsiTheme="minorHAnsi" w:cstheme="minorHAnsi"/>
                <w:szCs w:val="22"/>
              </w:rPr>
            </w:pPr>
            <w:r>
              <w:rPr>
                <w:rFonts w:asciiTheme="minorHAnsi" w:hAnsiTheme="minorHAnsi" w:cstheme="minorHAnsi"/>
                <w:szCs w:val="22"/>
              </w:rPr>
              <w:t>-</w:t>
            </w:r>
          </w:p>
        </w:tc>
        <w:tc>
          <w:tcPr>
            <w:tcW w:w="1250" w:type="pct"/>
            <w:vAlign w:val="center"/>
          </w:tcPr>
          <w:p w14:paraId="35B2FD46" w14:textId="77777777" w:rsidR="004F78A8" w:rsidRPr="00954FEE" w:rsidRDefault="004F78A8" w:rsidP="00B54421">
            <w:pPr>
              <w:jc w:val="center"/>
              <w:rPr>
                <w:rFonts w:asciiTheme="minorHAnsi" w:hAnsiTheme="minorHAnsi" w:cstheme="minorHAnsi"/>
                <w:szCs w:val="22"/>
              </w:rPr>
            </w:pPr>
            <w:r>
              <w:rPr>
                <w:rFonts w:asciiTheme="minorHAnsi" w:hAnsiTheme="minorHAnsi" w:cstheme="minorHAnsi"/>
                <w:szCs w:val="22"/>
              </w:rPr>
              <w:t>-</w:t>
            </w:r>
          </w:p>
        </w:tc>
      </w:tr>
      <w:tr w:rsidR="004F78A8" w:rsidRPr="00954FEE" w14:paraId="1107BDFF" w14:textId="77777777" w:rsidTr="00B54421">
        <w:tc>
          <w:tcPr>
            <w:tcW w:w="2499" w:type="pct"/>
            <w:shd w:val="clear" w:color="auto" w:fill="D9E2F3" w:themeFill="accent1" w:themeFillTint="33"/>
            <w:vAlign w:val="center"/>
          </w:tcPr>
          <w:p w14:paraId="77079430"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szCs w:val="22"/>
              </w:rPr>
              <w:tab/>
              <w:t>Other (specify) – workshop</w:t>
            </w:r>
          </w:p>
        </w:tc>
        <w:tc>
          <w:tcPr>
            <w:tcW w:w="1250" w:type="pct"/>
            <w:vAlign w:val="center"/>
          </w:tcPr>
          <w:p w14:paraId="78CCF8C9" w14:textId="77777777" w:rsidR="004F78A8" w:rsidRPr="00954FEE" w:rsidRDefault="004F78A8" w:rsidP="00B54421">
            <w:pPr>
              <w:jc w:val="center"/>
              <w:rPr>
                <w:rFonts w:asciiTheme="minorHAnsi" w:hAnsiTheme="minorHAnsi" w:cstheme="minorHAnsi"/>
                <w:szCs w:val="22"/>
              </w:rPr>
            </w:pPr>
            <w:r>
              <w:rPr>
                <w:rFonts w:asciiTheme="minorHAnsi" w:hAnsiTheme="minorHAnsi" w:cstheme="minorHAnsi"/>
                <w:szCs w:val="22"/>
              </w:rPr>
              <w:t>-</w:t>
            </w:r>
          </w:p>
        </w:tc>
        <w:tc>
          <w:tcPr>
            <w:tcW w:w="1250" w:type="pct"/>
            <w:vAlign w:val="center"/>
          </w:tcPr>
          <w:p w14:paraId="6A7120E4" w14:textId="77777777" w:rsidR="004F78A8" w:rsidRPr="00954FEE" w:rsidRDefault="004F78A8" w:rsidP="00B54421">
            <w:pPr>
              <w:jc w:val="center"/>
              <w:rPr>
                <w:rFonts w:asciiTheme="minorHAnsi" w:hAnsiTheme="minorHAnsi" w:cstheme="minorHAnsi"/>
                <w:szCs w:val="22"/>
              </w:rPr>
            </w:pPr>
            <w:r>
              <w:rPr>
                <w:rFonts w:asciiTheme="minorHAnsi" w:hAnsiTheme="minorHAnsi" w:cstheme="minorHAnsi"/>
                <w:szCs w:val="22"/>
              </w:rPr>
              <w:t>-</w:t>
            </w:r>
          </w:p>
        </w:tc>
      </w:tr>
      <w:tr w:rsidR="004F78A8" w:rsidRPr="00954FEE" w14:paraId="24F3E52F" w14:textId="77777777" w:rsidTr="00B54421">
        <w:tc>
          <w:tcPr>
            <w:tcW w:w="5000" w:type="pct"/>
            <w:gridSpan w:val="3"/>
            <w:shd w:val="clear" w:color="auto" w:fill="D9E2F3" w:themeFill="accent1" w:themeFillTint="33"/>
            <w:vAlign w:val="center"/>
          </w:tcPr>
          <w:p w14:paraId="71109A14"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b/>
                <w:szCs w:val="22"/>
              </w:rPr>
              <w:t>Independent Learning</w:t>
            </w:r>
          </w:p>
        </w:tc>
      </w:tr>
      <w:tr w:rsidR="004F78A8" w:rsidRPr="00954FEE" w14:paraId="1AE1BB95" w14:textId="77777777" w:rsidTr="00B54421">
        <w:tc>
          <w:tcPr>
            <w:tcW w:w="3750" w:type="pct"/>
            <w:gridSpan w:val="2"/>
            <w:shd w:val="clear" w:color="auto" w:fill="D9E2F3" w:themeFill="accent1" w:themeFillTint="33"/>
            <w:vAlign w:val="center"/>
          </w:tcPr>
          <w:p w14:paraId="3BABEF8D"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szCs w:val="22"/>
              </w:rPr>
              <w:tab/>
              <w:t>Directed e-learning (hours)</w:t>
            </w:r>
          </w:p>
        </w:tc>
        <w:tc>
          <w:tcPr>
            <w:tcW w:w="1250" w:type="pct"/>
            <w:vAlign w:val="center"/>
          </w:tcPr>
          <w:p w14:paraId="4E11C5E5" w14:textId="77777777" w:rsidR="004F78A8" w:rsidRPr="00954FEE" w:rsidRDefault="004F78A8" w:rsidP="00B54421">
            <w:pPr>
              <w:jc w:val="center"/>
              <w:rPr>
                <w:rFonts w:asciiTheme="minorHAnsi" w:hAnsiTheme="minorHAnsi" w:cstheme="minorHAnsi"/>
                <w:szCs w:val="22"/>
              </w:rPr>
            </w:pPr>
            <w:r>
              <w:rPr>
                <w:rFonts w:asciiTheme="minorHAnsi" w:hAnsiTheme="minorHAnsi" w:cstheme="minorHAnsi"/>
                <w:szCs w:val="22"/>
              </w:rPr>
              <w:t>-</w:t>
            </w:r>
          </w:p>
        </w:tc>
      </w:tr>
      <w:tr w:rsidR="004F78A8" w:rsidRPr="00954FEE" w14:paraId="7E4A4689" w14:textId="77777777" w:rsidTr="00B54421">
        <w:tc>
          <w:tcPr>
            <w:tcW w:w="3750" w:type="pct"/>
            <w:gridSpan w:val="2"/>
            <w:shd w:val="clear" w:color="auto" w:fill="D9E2F3" w:themeFill="accent1" w:themeFillTint="33"/>
            <w:vAlign w:val="center"/>
          </w:tcPr>
          <w:p w14:paraId="60E6115A"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szCs w:val="22"/>
              </w:rPr>
              <w:lastRenderedPageBreak/>
              <w:tab/>
              <w:t>Independent Learning (hours)</w:t>
            </w:r>
          </w:p>
        </w:tc>
        <w:tc>
          <w:tcPr>
            <w:tcW w:w="1250" w:type="pct"/>
            <w:vAlign w:val="center"/>
          </w:tcPr>
          <w:p w14:paraId="75349BCF" w14:textId="77777777" w:rsidR="004F78A8" w:rsidRPr="00954FEE" w:rsidRDefault="004F78A8" w:rsidP="00B54421">
            <w:pPr>
              <w:jc w:val="center"/>
              <w:rPr>
                <w:rFonts w:asciiTheme="minorHAnsi" w:hAnsiTheme="minorHAnsi" w:cstheme="minorHAnsi"/>
                <w:szCs w:val="22"/>
              </w:rPr>
            </w:pPr>
            <w:r w:rsidRPr="00954FEE">
              <w:rPr>
                <w:rFonts w:asciiTheme="minorHAnsi" w:hAnsiTheme="minorHAnsi" w:cstheme="minorHAnsi"/>
                <w:szCs w:val="22"/>
              </w:rPr>
              <w:t>104</w:t>
            </w:r>
          </w:p>
        </w:tc>
      </w:tr>
      <w:tr w:rsidR="004F78A8" w:rsidRPr="00954FEE" w14:paraId="3EE017C1" w14:textId="77777777" w:rsidTr="00B54421">
        <w:tc>
          <w:tcPr>
            <w:tcW w:w="3750" w:type="pct"/>
            <w:gridSpan w:val="2"/>
            <w:shd w:val="clear" w:color="auto" w:fill="D9E2F3" w:themeFill="accent1" w:themeFillTint="33"/>
            <w:vAlign w:val="center"/>
          </w:tcPr>
          <w:p w14:paraId="0280FD2B"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szCs w:val="22"/>
              </w:rPr>
              <w:tab/>
              <w:t>Other hours (specify)</w:t>
            </w:r>
          </w:p>
        </w:tc>
        <w:tc>
          <w:tcPr>
            <w:tcW w:w="1250" w:type="pct"/>
            <w:vAlign w:val="center"/>
          </w:tcPr>
          <w:p w14:paraId="297D16CA" w14:textId="77777777" w:rsidR="004F78A8" w:rsidRPr="00954FEE" w:rsidRDefault="004F78A8" w:rsidP="00B54421">
            <w:pPr>
              <w:jc w:val="center"/>
              <w:rPr>
                <w:rFonts w:asciiTheme="minorHAnsi" w:hAnsiTheme="minorHAnsi" w:cstheme="minorHAnsi"/>
                <w:szCs w:val="22"/>
              </w:rPr>
            </w:pPr>
            <w:r>
              <w:rPr>
                <w:rFonts w:asciiTheme="minorHAnsi" w:hAnsiTheme="minorHAnsi" w:cstheme="minorHAnsi"/>
                <w:szCs w:val="22"/>
              </w:rPr>
              <w:t>-</w:t>
            </w:r>
          </w:p>
        </w:tc>
      </w:tr>
      <w:tr w:rsidR="004F78A8" w:rsidRPr="00954FEE" w14:paraId="370B7359" w14:textId="77777777" w:rsidTr="00B54421">
        <w:tc>
          <w:tcPr>
            <w:tcW w:w="3750" w:type="pct"/>
            <w:gridSpan w:val="2"/>
            <w:shd w:val="clear" w:color="auto" w:fill="D9E2F3" w:themeFill="accent1" w:themeFillTint="33"/>
            <w:vAlign w:val="center"/>
          </w:tcPr>
          <w:p w14:paraId="35FC25D3"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szCs w:val="22"/>
              </w:rPr>
              <w:tab/>
              <w:t xml:space="preserve">Work-based learning hours of learning effort </w:t>
            </w:r>
          </w:p>
        </w:tc>
        <w:tc>
          <w:tcPr>
            <w:tcW w:w="1250" w:type="pct"/>
            <w:vAlign w:val="center"/>
          </w:tcPr>
          <w:p w14:paraId="2543D9E9" w14:textId="77777777" w:rsidR="004F78A8" w:rsidRPr="00954FEE" w:rsidRDefault="004F78A8" w:rsidP="00B54421">
            <w:pPr>
              <w:jc w:val="center"/>
              <w:rPr>
                <w:rFonts w:asciiTheme="minorHAnsi" w:hAnsiTheme="minorHAnsi" w:cstheme="minorHAnsi"/>
                <w:szCs w:val="22"/>
              </w:rPr>
            </w:pPr>
            <w:r>
              <w:rPr>
                <w:rFonts w:asciiTheme="minorHAnsi" w:hAnsiTheme="minorHAnsi" w:cstheme="minorHAnsi"/>
                <w:szCs w:val="22"/>
              </w:rPr>
              <w:t>-</w:t>
            </w:r>
          </w:p>
        </w:tc>
      </w:tr>
      <w:tr w:rsidR="004F78A8" w:rsidRPr="00954FEE" w14:paraId="3BC8A3D1" w14:textId="77777777" w:rsidTr="00B54421">
        <w:trPr>
          <w:trHeight w:val="221"/>
        </w:trPr>
        <w:tc>
          <w:tcPr>
            <w:tcW w:w="3750" w:type="pct"/>
            <w:gridSpan w:val="2"/>
            <w:shd w:val="clear" w:color="auto" w:fill="D9E2F3" w:themeFill="accent1" w:themeFillTint="33"/>
            <w:vAlign w:val="center"/>
          </w:tcPr>
          <w:p w14:paraId="4D54DD8C" w14:textId="77777777" w:rsidR="004F78A8" w:rsidRPr="00954FEE" w:rsidRDefault="004F78A8" w:rsidP="00B54421">
            <w:pPr>
              <w:rPr>
                <w:rFonts w:asciiTheme="minorHAnsi" w:hAnsiTheme="minorHAnsi" w:cstheme="minorHAnsi"/>
                <w:szCs w:val="22"/>
              </w:rPr>
            </w:pPr>
            <w:r w:rsidRPr="00954FEE">
              <w:rPr>
                <w:rFonts w:asciiTheme="minorHAnsi" w:hAnsiTheme="minorHAnsi" w:cstheme="minorHAnsi"/>
                <w:b/>
                <w:szCs w:val="22"/>
              </w:rPr>
              <w:t>Total Effort (hours)</w:t>
            </w:r>
          </w:p>
        </w:tc>
        <w:tc>
          <w:tcPr>
            <w:tcW w:w="1250" w:type="pct"/>
            <w:vAlign w:val="center"/>
          </w:tcPr>
          <w:p w14:paraId="4BC410E3" w14:textId="77777777" w:rsidR="004F78A8" w:rsidRPr="00954FEE" w:rsidRDefault="004F78A8" w:rsidP="00B54421">
            <w:pPr>
              <w:jc w:val="center"/>
              <w:rPr>
                <w:rFonts w:asciiTheme="minorHAnsi" w:hAnsiTheme="minorHAnsi" w:cstheme="minorHAnsi"/>
                <w:szCs w:val="22"/>
              </w:rPr>
            </w:pPr>
            <w:r w:rsidRPr="00954FEE">
              <w:rPr>
                <w:rFonts w:asciiTheme="minorHAnsi" w:hAnsiTheme="minorHAnsi" w:cstheme="minorHAnsi"/>
                <w:szCs w:val="22"/>
              </w:rPr>
              <w:t>125</w:t>
            </w:r>
          </w:p>
        </w:tc>
      </w:tr>
    </w:tbl>
    <w:p w14:paraId="1B414A1E" w14:textId="77777777" w:rsidR="004F78A8" w:rsidRDefault="004F78A8" w:rsidP="004F78A8">
      <w:pPr>
        <w:rPr>
          <w:rFonts w:asciiTheme="minorHAnsi" w:hAnsiTheme="minorHAnsi" w:cstheme="minorHAnsi"/>
          <w:szCs w:val="22"/>
        </w:rPr>
      </w:pPr>
    </w:p>
    <w:p w14:paraId="32C5156D" w14:textId="77777777" w:rsidR="004F78A8" w:rsidRDefault="004F78A8" w:rsidP="004F78A8">
      <w:pPr>
        <w:suppressAutoHyphens w:val="0"/>
        <w:spacing w:after="160" w:line="259" w:lineRule="auto"/>
        <w:rPr>
          <w:rFonts w:asciiTheme="minorHAnsi" w:hAnsiTheme="minorHAnsi" w:cstheme="minorHAnsi"/>
          <w:szCs w:val="22"/>
        </w:rPr>
      </w:pPr>
      <w:r>
        <w:rPr>
          <w:rFonts w:asciiTheme="minorHAnsi" w:hAnsiTheme="minorHAnsi" w:cstheme="minorHAnsi"/>
          <w:szCs w:val="22"/>
        </w:rPr>
        <w:br w:type="page"/>
      </w:r>
    </w:p>
    <w:tbl>
      <w:tblPr>
        <w:tblStyle w:val="TableGrid"/>
        <w:tblW w:w="5000" w:type="pct"/>
        <w:tblInd w:w="0" w:type="dxa"/>
        <w:tblLook w:val="04A0" w:firstRow="1" w:lastRow="0" w:firstColumn="1" w:lastColumn="0" w:noHBand="0" w:noVBand="1"/>
      </w:tblPr>
      <w:tblGrid>
        <w:gridCol w:w="1915"/>
        <w:gridCol w:w="1296"/>
        <w:gridCol w:w="1235"/>
        <w:gridCol w:w="1678"/>
        <w:gridCol w:w="1453"/>
        <w:gridCol w:w="1433"/>
      </w:tblGrid>
      <w:tr w:rsidR="004F78A8" w:rsidRPr="00B870F9" w14:paraId="4E1636B8" w14:textId="77777777" w:rsidTr="00B54421">
        <w:tc>
          <w:tcPr>
            <w:tcW w:w="5000" w:type="pct"/>
            <w:gridSpan w:val="6"/>
            <w:shd w:val="clear" w:color="auto" w:fill="D9E2F3" w:themeFill="accent1" w:themeFillTint="33"/>
          </w:tcPr>
          <w:p w14:paraId="4DD3B6BC" w14:textId="77777777" w:rsidR="004F78A8" w:rsidRPr="00B870F9" w:rsidRDefault="004F78A8" w:rsidP="00B54421">
            <w:pPr>
              <w:jc w:val="center"/>
              <w:rPr>
                <w:b/>
                <w:bCs/>
                <w:szCs w:val="22"/>
              </w:rPr>
            </w:pPr>
            <w:r w:rsidRPr="00B870F9">
              <w:rPr>
                <w:b/>
                <w:bCs/>
                <w:szCs w:val="22"/>
              </w:rPr>
              <w:lastRenderedPageBreak/>
              <w:t>Allocation of Marks</w:t>
            </w:r>
          </w:p>
        </w:tc>
      </w:tr>
      <w:tr w:rsidR="004F78A8" w:rsidRPr="00B870F9" w14:paraId="7A977634" w14:textId="77777777" w:rsidTr="00B54421">
        <w:tc>
          <w:tcPr>
            <w:tcW w:w="1074" w:type="pct"/>
            <w:shd w:val="clear" w:color="auto" w:fill="D9E2F3" w:themeFill="accent1" w:themeFillTint="33"/>
          </w:tcPr>
          <w:p w14:paraId="453E0450" w14:textId="77777777" w:rsidR="004F78A8" w:rsidRPr="00B870F9" w:rsidRDefault="004F78A8" w:rsidP="00B54421">
            <w:pPr>
              <w:rPr>
                <w:b/>
                <w:bCs/>
                <w:szCs w:val="22"/>
              </w:rPr>
            </w:pPr>
          </w:p>
        </w:tc>
        <w:tc>
          <w:tcPr>
            <w:tcW w:w="665" w:type="pct"/>
            <w:shd w:val="clear" w:color="auto" w:fill="D9E2F3" w:themeFill="accent1" w:themeFillTint="33"/>
            <w:vAlign w:val="center"/>
          </w:tcPr>
          <w:p w14:paraId="7738583C" w14:textId="77777777" w:rsidR="004F78A8" w:rsidRPr="00B870F9" w:rsidRDefault="004F78A8" w:rsidP="00B54421">
            <w:pPr>
              <w:jc w:val="center"/>
              <w:rPr>
                <w:b/>
                <w:bCs/>
                <w:szCs w:val="22"/>
              </w:rPr>
            </w:pPr>
            <w:r w:rsidRPr="00B870F9">
              <w:rPr>
                <w:b/>
                <w:bCs/>
                <w:szCs w:val="22"/>
              </w:rPr>
              <w:t>Continuous Assessment</w:t>
            </w:r>
          </w:p>
        </w:tc>
        <w:tc>
          <w:tcPr>
            <w:tcW w:w="696" w:type="pct"/>
            <w:shd w:val="clear" w:color="auto" w:fill="D9E2F3" w:themeFill="accent1" w:themeFillTint="33"/>
            <w:vAlign w:val="center"/>
          </w:tcPr>
          <w:p w14:paraId="479DFA92" w14:textId="77777777" w:rsidR="004F78A8" w:rsidRPr="00B870F9" w:rsidRDefault="004F78A8" w:rsidP="00B54421">
            <w:pPr>
              <w:jc w:val="center"/>
              <w:rPr>
                <w:b/>
                <w:bCs/>
                <w:szCs w:val="22"/>
              </w:rPr>
            </w:pPr>
            <w:r w:rsidRPr="00B870F9">
              <w:rPr>
                <w:b/>
                <w:bCs/>
                <w:szCs w:val="22"/>
              </w:rPr>
              <w:t>Supervised Project</w:t>
            </w:r>
          </w:p>
        </w:tc>
        <w:tc>
          <w:tcPr>
            <w:tcW w:w="942" w:type="pct"/>
            <w:shd w:val="clear" w:color="auto" w:fill="D9E2F3" w:themeFill="accent1" w:themeFillTint="33"/>
            <w:vAlign w:val="center"/>
          </w:tcPr>
          <w:p w14:paraId="12A287C9" w14:textId="77777777" w:rsidR="004F78A8" w:rsidRPr="00B870F9" w:rsidRDefault="004F78A8" w:rsidP="00B54421">
            <w:pPr>
              <w:jc w:val="center"/>
              <w:rPr>
                <w:b/>
                <w:bCs/>
                <w:szCs w:val="22"/>
              </w:rPr>
            </w:pPr>
            <w:r w:rsidRPr="00B870F9">
              <w:rPr>
                <w:b/>
                <w:bCs/>
                <w:szCs w:val="22"/>
              </w:rPr>
              <w:t>Proctored Practical Exam.</w:t>
            </w:r>
          </w:p>
        </w:tc>
        <w:tc>
          <w:tcPr>
            <w:tcW w:w="817" w:type="pct"/>
            <w:shd w:val="clear" w:color="auto" w:fill="D9E2F3" w:themeFill="accent1" w:themeFillTint="33"/>
            <w:vAlign w:val="center"/>
          </w:tcPr>
          <w:p w14:paraId="003FEE35" w14:textId="77777777" w:rsidR="004F78A8" w:rsidRPr="00B870F9" w:rsidRDefault="004F78A8" w:rsidP="00B54421">
            <w:pPr>
              <w:jc w:val="center"/>
              <w:rPr>
                <w:b/>
                <w:bCs/>
                <w:szCs w:val="22"/>
              </w:rPr>
            </w:pPr>
            <w:r w:rsidRPr="00B870F9">
              <w:rPr>
                <w:b/>
                <w:bCs/>
                <w:szCs w:val="22"/>
              </w:rPr>
              <w:t>Proctored Written Exam</w:t>
            </w:r>
          </w:p>
        </w:tc>
        <w:tc>
          <w:tcPr>
            <w:tcW w:w="806" w:type="pct"/>
            <w:shd w:val="clear" w:color="auto" w:fill="D9E2F3" w:themeFill="accent1" w:themeFillTint="33"/>
            <w:vAlign w:val="center"/>
          </w:tcPr>
          <w:p w14:paraId="2FA225F8" w14:textId="77777777" w:rsidR="004F78A8" w:rsidRPr="00B870F9" w:rsidRDefault="004F78A8" w:rsidP="00B54421">
            <w:pPr>
              <w:jc w:val="center"/>
              <w:rPr>
                <w:b/>
                <w:bCs/>
                <w:szCs w:val="22"/>
              </w:rPr>
            </w:pPr>
            <w:r w:rsidRPr="00B870F9">
              <w:rPr>
                <w:b/>
                <w:bCs/>
                <w:szCs w:val="22"/>
              </w:rPr>
              <w:t>Total</w:t>
            </w:r>
          </w:p>
        </w:tc>
      </w:tr>
      <w:tr w:rsidR="004F78A8" w:rsidRPr="00B870F9" w14:paraId="77F36243" w14:textId="77777777" w:rsidTr="00B54421">
        <w:tc>
          <w:tcPr>
            <w:tcW w:w="1074" w:type="pct"/>
            <w:shd w:val="clear" w:color="auto" w:fill="D9E2F3" w:themeFill="accent1" w:themeFillTint="33"/>
          </w:tcPr>
          <w:p w14:paraId="1F9EB2B0" w14:textId="77777777" w:rsidR="004F78A8" w:rsidRPr="00B870F9" w:rsidRDefault="004F78A8" w:rsidP="00B54421">
            <w:pPr>
              <w:rPr>
                <w:b/>
                <w:bCs/>
                <w:szCs w:val="22"/>
              </w:rPr>
            </w:pPr>
            <w:r w:rsidRPr="00B870F9">
              <w:rPr>
                <w:b/>
                <w:bCs/>
                <w:szCs w:val="22"/>
              </w:rPr>
              <w:t>Percentage Contribution</w:t>
            </w:r>
          </w:p>
        </w:tc>
        <w:tc>
          <w:tcPr>
            <w:tcW w:w="665" w:type="pct"/>
            <w:vAlign w:val="center"/>
          </w:tcPr>
          <w:p w14:paraId="2639BEEA" w14:textId="77777777" w:rsidR="004F78A8" w:rsidRPr="00B870F9" w:rsidRDefault="004F78A8" w:rsidP="00B54421">
            <w:pPr>
              <w:jc w:val="center"/>
              <w:rPr>
                <w:szCs w:val="22"/>
              </w:rPr>
            </w:pPr>
            <w:r>
              <w:rPr>
                <w:szCs w:val="22"/>
              </w:rPr>
              <w:t>40%</w:t>
            </w:r>
          </w:p>
        </w:tc>
        <w:tc>
          <w:tcPr>
            <w:tcW w:w="696" w:type="pct"/>
            <w:vAlign w:val="center"/>
          </w:tcPr>
          <w:p w14:paraId="105DDA99" w14:textId="77777777" w:rsidR="004F78A8" w:rsidRPr="00B870F9" w:rsidRDefault="004F78A8" w:rsidP="00B54421">
            <w:pPr>
              <w:jc w:val="center"/>
              <w:rPr>
                <w:szCs w:val="22"/>
              </w:rPr>
            </w:pPr>
            <w:r>
              <w:rPr>
                <w:szCs w:val="22"/>
              </w:rPr>
              <w:t>-</w:t>
            </w:r>
          </w:p>
        </w:tc>
        <w:tc>
          <w:tcPr>
            <w:tcW w:w="942" w:type="pct"/>
            <w:vAlign w:val="center"/>
          </w:tcPr>
          <w:p w14:paraId="7B97CCE9" w14:textId="77777777" w:rsidR="004F78A8" w:rsidRPr="00B870F9" w:rsidRDefault="004F78A8" w:rsidP="00B54421">
            <w:pPr>
              <w:jc w:val="center"/>
              <w:rPr>
                <w:szCs w:val="22"/>
              </w:rPr>
            </w:pPr>
            <w:r>
              <w:rPr>
                <w:szCs w:val="22"/>
              </w:rPr>
              <w:t>-</w:t>
            </w:r>
          </w:p>
        </w:tc>
        <w:tc>
          <w:tcPr>
            <w:tcW w:w="817" w:type="pct"/>
            <w:vAlign w:val="center"/>
          </w:tcPr>
          <w:p w14:paraId="099D02BB" w14:textId="77777777" w:rsidR="004F78A8" w:rsidRPr="00B870F9" w:rsidRDefault="004F78A8" w:rsidP="00B54421">
            <w:pPr>
              <w:jc w:val="center"/>
              <w:rPr>
                <w:szCs w:val="22"/>
              </w:rPr>
            </w:pPr>
            <w:r>
              <w:rPr>
                <w:szCs w:val="22"/>
              </w:rPr>
              <w:t>60%</w:t>
            </w:r>
          </w:p>
        </w:tc>
        <w:tc>
          <w:tcPr>
            <w:tcW w:w="806" w:type="pct"/>
            <w:shd w:val="clear" w:color="auto" w:fill="D9E2F3" w:themeFill="accent1" w:themeFillTint="33"/>
            <w:vAlign w:val="center"/>
          </w:tcPr>
          <w:p w14:paraId="677E6B9D" w14:textId="77777777" w:rsidR="004F78A8" w:rsidRPr="00B870F9" w:rsidRDefault="004F78A8" w:rsidP="00B54421">
            <w:pPr>
              <w:jc w:val="center"/>
              <w:rPr>
                <w:b/>
                <w:bCs/>
                <w:szCs w:val="22"/>
              </w:rPr>
            </w:pPr>
            <w:r w:rsidRPr="00B870F9">
              <w:rPr>
                <w:b/>
                <w:szCs w:val="22"/>
              </w:rPr>
              <w:t>100</w:t>
            </w:r>
            <w:r w:rsidRPr="00B870F9">
              <w:rPr>
                <w:b/>
                <w:bCs/>
                <w:szCs w:val="22"/>
              </w:rPr>
              <w:t>%</w:t>
            </w:r>
          </w:p>
        </w:tc>
      </w:tr>
    </w:tbl>
    <w:p w14:paraId="4F0DAAB0" w14:textId="77777777" w:rsidR="004F78A8" w:rsidRPr="00FF3072" w:rsidRDefault="004F78A8" w:rsidP="004F78A8">
      <w:pPr>
        <w:rPr>
          <w:rFonts w:asciiTheme="minorHAnsi" w:hAnsiTheme="minorHAnsi" w:cstheme="minorHAnsi"/>
          <w:szCs w:val="22"/>
        </w:rPr>
      </w:pPr>
    </w:p>
    <w:p w14:paraId="5A59EFA3" w14:textId="77777777" w:rsidR="004F78A8" w:rsidRDefault="004F78A8" w:rsidP="004F78A8">
      <w:pPr>
        <w:pStyle w:val="Heading3"/>
      </w:pPr>
      <w:r w:rsidRPr="00954FEE">
        <w:t>Modules Aims and Objectives</w:t>
      </w:r>
    </w:p>
    <w:p w14:paraId="474B27EA" w14:textId="77777777" w:rsidR="004F78A8" w:rsidRPr="00330401" w:rsidRDefault="004F78A8" w:rsidP="004F78A8">
      <w:pPr>
        <w:jc w:val="both"/>
        <w:rPr>
          <w:szCs w:val="22"/>
        </w:rPr>
      </w:pPr>
      <w:r w:rsidRPr="00330401">
        <w:rPr>
          <w:szCs w:val="22"/>
        </w:rPr>
        <w:t xml:space="preserve">This module aims to provide learners with an overview of law related to the various forms of business, primarily Partnerships and Limited Liability Companies. It also aims to introduce learners to </w:t>
      </w:r>
      <w:r>
        <w:rPr>
          <w:szCs w:val="22"/>
          <w:lang w:eastAsia="en-US"/>
        </w:rPr>
        <w:t>details of the l</w:t>
      </w:r>
      <w:r w:rsidRPr="00330401">
        <w:rPr>
          <w:szCs w:val="22"/>
          <w:lang w:eastAsia="en-US"/>
        </w:rPr>
        <w:t>aw surrounding the formation, orderly life and winding up of a business. The means of assessment, that of practical case study and proctored written exam enables learners to apply company law to factual, real life scenarios.</w:t>
      </w:r>
    </w:p>
    <w:p w14:paraId="294724D6" w14:textId="77777777" w:rsidR="004F78A8" w:rsidRPr="00FF3072" w:rsidRDefault="004F78A8" w:rsidP="004F78A8"/>
    <w:p w14:paraId="295CDDA4" w14:textId="77777777" w:rsidR="004F78A8" w:rsidRPr="00954FEE" w:rsidRDefault="004F78A8" w:rsidP="004F78A8">
      <w:pPr>
        <w:pStyle w:val="Heading3"/>
      </w:pPr>
      <w:r w:rsidRPr="00954FEE">
        <w:t>Minimum intended module learning outcomes</w:t>
      </w:r>
    </w:p>
    <w:p w14:paraId="6AAFA362" w14:textId="77777777" w:rsidR="004F78A8" w:rsidRPr="00FF3072" w:rsidRDefault="004F78A8" w:rsidP="004F78A8">
      <w:pPr>
        <w:ind w:right="-17"/>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On successful completion of this module, learners are able to:</w:t>
      </w:r>
    </w:p>
    <w:p w14:paraId="6F1BD964" w14:textId="77777777" w:rsidR="004F78A8" w:rsidRPr="00FF3072" w:rsidRDefault="004F78A8" w:rsidP="004F78A8">
      <w:pPr>
        <w:ind w:right="-17"/>
        <w:rPr>
          <w:rFonts w:asciiTheme="minorHAnsi" w:hAnsiTheme="minorHAnsi" w:cstheme="minorHAnsi"/>
          <w:color w:val="000000" w:themeColor="text1"/>
          <w:szCs w:val="22"/>
        </w:rPr>
      </w:pPr>
    </w:p>
    <w:p w14:paraId="1A6FB5A9" w14:textId="77777777" w:rsidR="004F78A8" w:rsidRPr="00954FEE" w:rsidRDefault="004F78A8" w:rsidP="004F78A8">
      <w:pPr>
        <w:pStyle w:val="ListParagraph"/>
        <w:numPr>
          <w:ilvl w:val="0"/>
          <w:numId w:val="3"/>
        </w:numPr>
        <w:suppressAutoHyphens w:val="0"/>
        <w:ind w:right="515"/>
        <w:rPr>
          <w:rFonts w:asciiTheme="minorHAnsi" w:hAnsiTheme="minorHAnsi" w:cstheme="minorHAnsi"/>
          <w:color w:val="000000" w:themeColor="text1"/>
          <w:szCs w:val="22"/>
          <w:lang w:eastAsia="en-US"/>
        </w:rPr>
      </w:pPr>
      <w:r w:rsidRPr="00954FEE">
        <w:rPr>
          <w:rFonts w:asciiTheme="minorHAnsi" w:hAnsiTheme="minorHAnsi" w:cstheme="minorHAnsi"/>
          <w:color w:val="000000" w:themeColor="text1"/>
          <w:szCs w:val="22"/>
          <w:lang w:eastAsia="en-US"/>
        </w:rPr>
        <w:t>Distinguish between partnerships and limited liability companies.</w:t>
      </w:r>
    </w:p>
    <w:p w14:paraId="4A98D043" w14:textId="77777777" w:rsidR="004F78A8" w:rsidRPr="00954FEE" w:rsidRDefault="004F78A8" w:rsidP="004F78A8">
      <w:pPr>
        <w:pStyle w:val="ListParagraph"/>
        <w:numPr>
          <w:ilvl w:val="0"/>
          <w:numId w:val="3"/>
        </w:numPr>
        <w:suppressAutoHyphens w:val="0"/>
        <w:ind w:right="515"/>
        <w:rPr>
          <w:rFonts w:asciiTheme="minorHAnsi" w:hAnsiTheme="minorHAnsi" w:cstheme="minorHAnsi"/>
          <w:color w:val="000000" w:themeColor="text1"/>
          <w:szCs w:val="22"/>
          <w:lang w:eastAsia="en-US"/>
        </w:rPr>
      </w:pPr>
      <w:r>
        <w:rPr>
          <w:rFonts w:asciiTheme="minorHAnsi" w:hAnsiTheme="minorHAnsi" w:cstheme="minorHAnsi"/>
          <w:color w:val="000000" w:themeColor="text1"/>
          <w:szCs w:val="22"/>
          <w:lang w:eastAsia="en-US"/>
        </w:rPr>
        <w:t>E</w:t>
      </w:r>
      <w:r w:rsidRPr="00954FEE">
        <w:rPr>
          <w:rFonts w:asciiTheme="minorHAnsi" w:hAnsiTheme="minorHAnsi" w:cstheme="minorHAnsi"/>
          <w:color w:val="000000" w:themeColor="text1"/>
          <w:szCs w:val="22"/>
          <w:lang w:eastAsia="en-US"/>
        </w:rPr>
        <w:t>xplain company formation and dissolution and the core concept of limited liability.</w:t>
      </w:r>
    </w:p>
    <w:p w14:paraId="637A7932" w14:textId="77777777" w:rsidR="004F78A8" w:rsidRPr="00954FEE" w:rsidRDefault="004F78A8" w:rsidP="004F78A8">
      <w:pPr>
        <w:pStyle w:val="ListParagraph"/>
        <w:numPr>
          <w:ilvl w:val="0"/>
          <w:numId w:val="3"/>
        </w:numPr>
        <w:suppressAutoHyphens w:val="0"/>
        <w:ind w:right="515"/>
        <w:rPr>
          <w:rFonts w:asciiTheme="minorHAnsi" w:hAnsiTheme="minorHAnsi" w:cstheme="minorHAnsi"/>
          <w:color w:val="000000" w:themeColor="text1"/>
          <w:szCs w:val="22"/>
          <w:lang w:eastAsia="en-US"/>
        </w:rPr>
      </w:pPr>
      <w:r w:rsidRPr="00954FEE">
        <w:rPr>
          <w:rFonts w:asciiTheme="minorHAnsi" w:hAnsiTheme="minorHAnsi" w:cstheme="minorHAnsi"/>
          <w:color w:val="000000" w:themeColor="text1"/>
          <w:szCs w:val="22"/>
          <w:lang w:eastAsia="en-US"/>
        </w:rPr>
        <w:t>Define the duties of a company director and relate their role to factual situations.</w:t>
      </w:r>
    </w:p>
    <w:p w14:paraId="6C8871B7" w14:textId="77777777" w:rsidR="004F78A8" w:rsidRPr="00954FEE" w:rsidRDefault="004F78A8" w:rsidP="004F78A8">
      <w:pPr>
        <w:pStyle w:val="ListParagraph"/>
        <w:numPr>
          <w:ilvl w:val="0"/>
          <w:numId w:val="3"/>
        </w:numPr>
        <w:suppressAutoHyphens w:val="0"/>
        <w:ind w:right="515"/>
        <w:rPr>
          <w:rFonts w:asciiTheme="minorHAnsi" w:hAnsiTheme="minorHAnsi" w:cstheme="minorHAnsi"/>
          <w:color w:val="000000" w:themeColor="text1"/>
          <w:szCs w:val="22"/>
          <w:lang w:eastAsia="en-US"/>
        </w:rPr>
      </w:pPr>
      <w:r w:rsidRPr="00954FEE">
        <w:rPr>
          <w:rFonts w:asciiTheme="minorHAnsi" w:hAnsiTheme="minorHAnsi" w:cstheme="minorHAnsi"/>
          <w:color w:val="000000" w:themeColor="text1"/>
          <w:szCs w:val="22"/>
          <w:lang w:eastAsia="en-US"/>
        </w:rPr>
        <w:t>Describe the processes involved in the winding up of a company and distinguish the roles of Receivers, Examiners and Liquidators in the corporate life cycle.</w:t>
      </w:r>
    </w:p>
    <w:p w14:paraId="497F71AA" w14:textId="77777777" w:rsidR="004F78A8" w:rsidRPr="00954FEE" w:rsidRDefault="004F78A8" w:rsidP="004F78A8">
      <w:pPr>
        <w:pStyle w:val="ListParagraph"/>
        <w:numPr>
          <w:ilvl w:val="0"/>
          <w:numId w:val="3"/>
        </w:numPr>
        <w:suppressAutoHyphens w:val="0"/>
        <w:ind w:right="515"/>
        <w:rPr>
          <w:rFonts w:asciiTheme="minorHAnsi" w:hAnsiTheme="minorHAnsi" w:cstheme="minorHAnsi"/>
          <w:color w:val="000000" w:themeColor="text1"/>
          <w:szCs w:val="22"/>
          <w:lang w:eastAsia="en-US"/>
        </w:rPr>
      </w:pPr>
      <w:r w:rsidRPr="00954FEE">
        <w:rPr>
          <w:rFonts w:asciiTheme="minorHAnsi" w:hAnsiTheme="minorHAnsi" w:cstheme="minorHAnsi"/>
          <w:color w:val="000000" w:themeColor="text1"/>
          <w:szCs w:val="22"/>
          <w:lang w:eastAsia="en-US"/>
        </w:rPr>
        <w:t>Distinguish the various forms of funding and creation of charges in the realm of corporate borrowing.</w:t>
      </w:r>
    </w:p>
    <w:p w14:paraId="39386E16" w14:textId="77777777" w:rsidR="004F78A8" w:rsidRPr="00FF3072" w:rsidRDefault="004F78A8" w:rsidP="004F78A8">
      <w:pPr>
        <w:rPr>
          <w:rFonts w:asciiTheme="minorHAnsi" w:hAnsiTheme="minorHAnsi" w:cstheme="minorHAnsi"/>
          <w:szCs w:val="22"/>
        </w:rPr>
      </w:pPr>
    </w:p>
    <w:p w14:paraId="44E407FA" w14:textId="77777777" w:rsidR="004F78A8" w:rsidRPr="003A4309" w:rsidRDefault="004F78A8" w:rsidP="004F78A8">
      <w:pPr>
        <w:pStyle w:val="Heading3"/>
      </w:pPr>
      <w:r w:rsidRPr="003A4309">
        <w:t>Rationale for inclusion of the module in the programme and its contribution to the overall MIPLOs</w:t>
      </w:r>
    </w:p>
    <w:p w14:paraId="7B12CE52" w14:textId="77777777" w:rsidR="004F78A8" w:rsidRPr="00330401" w:rsidRDefault="004F78A8" w:rsidP="004F78A8">
      <w:pPr>
        <w:jc w:val="both"/>
        <w:rPr>
          <w:rFonts w:cstheme="minorHAnsi"/>
          <w:color w:val="000000" w:themeColor="text1"/>
          <w:szCs w:val="22"/>
        </w:rPr>
      </w:pPr>
      <w:r w:rsidRPr="00330401">
        <w:rPr>
          <w:rFonts w:cstheme="minorHAnsi"/>
          <w:szCs w:val="22"/>
        </w:rPr>
        <w:t>Company</w:t>
      </w:r>
      <w:r>
        <w:rPr>
          <w:rFonts w:cstheme="minorHAnsi"/>
          <w:szCs w:val="22"/>
        </w:rPr>
        <w:t xml:space="preserve"> Law</w:t>
      </w:r>
      <w:r w:rsidRPr="00330401">
        <w:rPr>
          <w:rFonts w:cstheme="minorHAnsi"/>
          <w:szCs w:val="22"/>
        </w:rPr>
        <w:t xml:space="preserve"> provides learners with an overview of key concepts which pervade the area of company law. The module responds to the fact that many graduates go on to work in large commercial law firms which require a working knowledge of corporate governance, associated documentation and commercial litigation. </w:t>
      </w:r>
      <w:r w:rsidRPr="00330401">
        <w:rPr>
          <w:rFonts w:cstheme="minorHAnsi"/>
          <w:szCs w:val="22"/>
          <w:lang w:eastAsia="en-US"/>
        </w:rPr>
        <w:t xml:space="preserve">In that context this module supports the achievement of </w:t>
      </w:r>
      <w:r>
        <w:rPr>
          <w:rFonts w:cstheme="minorHAnsi"/>
          <w:szCs w:val="22"/>
          <w:lang w:eastAsia="en-US"/>
        </w:rPr>
        <w:t>MIPLO I.</w:t>
      </w:r>
    </w:p>
    <w:p w14:paraId="1B820B17" w14:textId="77777777" w:rsidR="004F78A8" w:rsidRPr="00330401" w:rsidRDefault="004F78A8" w:rsidP="004F78A8">
      <w:pPr>
        <w:jc w:val="both"/>
        <w:rPr>
          <w:rFonts w:cstheme="minorHAnsi"/>
          <w:szCs w:val="22"/>
        </w:rPr>
      </w:pPr>
    </w:p>
    <w:p w14:paraId="66F02906" w14:textId="77777777" w:rsidR="004F78A8" w:rsidRPr="00330401" w:rsidRDefault="004F78A8" w:rsidP="004F78A8">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module requires </w:t>
      </w:r>
      <w:r>
        <w:rPr>
          <w:rFonts w:ascii="Calibri" w:hAnsi="Calibri" w:cstheme="minorHAnsi"/>
          <w:sz w:val="22"/>
          <w:szCs w:val="22"/>
        </w:rPr>
        <w:t>learner</w:t>
      </w:r>
      <w:r w:rsidRPr="00330401">
        <w:rPr>
          <w:rFonts w:ascii="Calibri" w:hAnsi="Calibri" w:cstheme="minorHAnsi"/>
          <w:sz w:val="22"/>
          <w:szCs w:val="22"/>
        </w:rPr>
        <w:t xml:space="preserve">s, in both formative and summative assessments, to apply their legal knowledge to fact-specific problem-scenarios where they are tasked to provide advice to fictional clients. In particular, the assignment (worth 40% of the overall grade) requires </w:t>
      </w:r>
      <w:r>
        <w:rPr>
          <w:rFonts w:ascii="Calibri" w:hAnsi="Calibri" w:cstheme="minorHAnsi"/>
          <w:sz w:val="22"/>
          <w:szCs w:val="22"/>
        </w:rPr>
        <w:t>learner</w:t>
      </w:r>
      <w:r w:rsidRPr="00330401">
        <w:rPr>
          <w:rFonts w:ascii="Calibri" w:hAnsi="Calibri" w:cstheme="minorHAnsi"/>
          <w:sz w:val="22"/>
          <w:szCs w:val="22"/>
        </w:rPr>
        <w:t xml:space="preserve">s to demonstrate knowledge from a range of topics covered on the course and support their arguments with reference to case law and relevant legislation.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MIPLOs II and IV.</w:t>
      </w:r>
    </w:p>
    <w:p w14:paraId="2662C9CF" w14:textId="77777777" w:rsidR="004F78A8" w:rsidRPr="00330401" w:rsidRDefault="004F78A8" w:rsidP="004F78A8">
      <w:pPr>
        <w:pStyle w:val="NormalWeb"/>
        <w:spacing w:before="0" w:beforeAutospacing="0" w:after="0" w:afterAutospacing="0"/>
        <w:jc w:val="both"/>
        <w:rPr>
          <w:rFonts w:ascii="Calibri" w:hAnsi="Calibri" w:cstheme="minorHAnsi"/>
          <w:sz w:val="22"/>
          <w:szCs w:val="22"/>
        </w:rPr>
      </w:pPr>
    </w:p>
    <w:p w14:paraId="36E4E2FD" w14:textId="77777777" w:rsidR="004F78A8" w:rsidRPr="00330401" w:rsidRDefault="004F78A8" w:rsidP="004F78A8">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Formative classwork includes group discussion of exercises, fact-based problem scenarios and quizzes, aimed at increasing collaborative problem-solving.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w:t>
      </w:r>
      <w:r w:rsidRPr="00330401">
        <w:rPr>
          <w:rFonts w:ascii="Calibri" w:eastAsiaTheme="majorEastAsia" w:hAnsi="Calibri" w:cstheme="minorHAnsi"/>
          <w:color w:val="000000" w:themeColor="text1"/>
          <w:sz w:val="22"/>
          <w:szCs w:val="22"/>
        </w:rPr>
        <w:t xml:space="preserve"> </w:t>
      </w:r>
    </w:p>
    <w:p w14:paraId="05E4E71E" w14:textId="77777777" w:rsidR="004F78A8" w:rsidRPr="00330401" w:rsidRDefault="004F78A8" w:rsidP="004F78A8">
      <w:pPr>
        <w:pStyle w:val="NormalWeb"/>
        <w:spacing w:before="0" w:beforeAutospacing="0" w:after="0" w:afterAutospacing="0"/>
        <w:jc w:val="both"/>
        <w:rPr>
          <w:rFonts w:ascii="Calibri" w:eastAsiaTheme="majorEastAsia" w:hAnsi="Calibri" w:cstheme="minorHAnsi"/>
          <w:color w:val="000000" w:themeColor="text1"/>
          <w:sz w:val="22"/>
          <w:szCs w:val="22"/>
        </w:rPr>
      </w:pPr>
    </w:p>
    <w:p w14:paraId="39833042" w14:textId="77777777" w:rsidR="004F78A8" w:rsidRPr="00330401" w:rsidRDefault="004F78A8" w:rsidP="004F78A8">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w:t>
      </w:r>
      <w:r>
        <w:rPr>
          <w:rFonts w:ascii="Calibri" w:hAnsi="Calibri" w:cstheme="minorHAnsi"/>
          <w:sz w:val="22"/>
          <w:szCs w:val="22"/>
        </w:rPr>
        <w:t xml:space="preserve"> </w:t>
      </w:r>
      <w:r w:rsidRPr="00330401">
        <w:rPr>
          <w:rFonts w:ascii="Calibri" w:hAnsi="Calibri" w:cstheme="minorHAnsi"/>
          <w:sz w:val="22"/>
          <w:szCs w:val="22"/>
        </w:rPr>
        <w:t xml:space="preserve">The area of receivership, examinership and the failure of directors in their duties  for example, are all areas which attract debate in class, which is facilitated with formative discussion as to the ramifications of same on shareholders.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VIII.</w:t>
      </w:r>
    </w:p>
    <w:p w14:paraId="78DF1CF4" w14:textId="77777777" w:rsidR="004F78A8" w:rsidRPr="00FF3072" w:rsidRDefault="004F78A8" w:rsidP="004F78A8">
      <w:pPr>
        <w:rPr>
          <w:rFonts w:asciiTheme="minorHAnsi" w:hAnsiTheme="minorHAnsi" w:cstheme="minorHAnsi"/>
          <w:szCs w:val="22"/>
        </w:rPr>
      </w:pPr>
    </w:p>
    <w:p w14:paraId="2266B9B3" w14:textId="77777777" w:rsidR="004F78A8" w:rsidRPr="003A4309" w:rsidRDefault="004F78A8" w:rsidP="004F78A8">
      <w:pPr>
        <w:pStyle w:val="Heading3"/>
      </w:pPr>
      <w:r w:rsidRPr="003A4309">
        <w:lastRenderedPageBreak/>
        <w:t>Information provided to learners about the module</w:t>
      </w:r>
    </w:p>
    <w:p w14:paraId="59EEC1A5" w14:textId="77777777" w:rsidR="004F78A8" w:rsidRPr="00FF3072" w:rsidRDefault="004F78A8" w:rsidP="004F78A8">
      <w:pPr>
        <w:ind w:right="-17"/>
        <w:jc w:val="both"/>
        <w:rPr>
          <w:rFonts w:asciiTheme="minorHAnsi" w:hAnsiTheme="minorHAnsi" w:cstheme="minorHAnsi"/>
          <w:szCs w:val="22"/>
        </w:rPr>
      </w:pPr>
      <w:r w:rsidRPr="00FF3072">
        <w:rPr>
          <w:rFonts w:asciiTheme="minorHAnsi" w:hAnsiTheme="minorHAnsi" w:cstheme="minorHAnsi"/>
          <w:szCs w:val="22"/>
        </w:rPr>
        <w:t>Learners enrolled on this module initially receive a copy of the module descriptor, assessment briefs and assessment strategy. These materials are given directly by the lecturer and also by the Programme Director as part of the Learner Handbook for award stage modules of the programme. All content is provided on Moodle as well as access to additional content through the library and online resources.</w:t>
      </w:r>
    </w:p>
    <w:p w14:paraId="3787CAEE" w14:textId="77777777" w:rsidR="004F78A8" w:rsidRPr="00FF3072" w:rsidRDefault="004F78A8" w:rsidP="004F78A8">
      <w:pPr>
        <w:ind w:right="-17"/>
        <w:jc w:val="both"/>
        <w:rPr>
          <w:rFonts w:asciiTheme="minorHAnsi" w:eastAsia="Calibri" w:hAnsiTheme="minorHAnsi" w:cstheme="minorHAnsi"/>
          <w:szCs w:val="22"/>
        </w:rPr>
      </w:pPr>
    </w:p>
    <w:p w14:paraId="6F80ED31" w14:textId="77777777" w:rsidR="004F78A8" w:rsidRPr="00FF3072" w:rsidRDefault="004F78A8" w:rsidP="004F78A8">
      <w:pPr>
        <w:ind w:right="-17"/>
        <w:jc w:val="both"/>
        <w:rPr>
          <w:rFonts w:asciiTheme="minorHAnsi" w:eastAsia="Calibri" w:hAnsiTheme="minorHAnsi" w:cstheme="minorHAnsi"/>
          <w:szCs w:val="22"/>
        </w:rPr>
      </w:pPr>
      <w:r w:rsidRPr="00FF3072">
        <w:rPr>
          <w:rFonts w:asciiTheme="minorHAnsi" w:eastAsia="Calibri" w:hAnsiTheme="minorHAnsi" w:cstheme="minorHAnsi"/>
          <w:szCs w:val="22"/>
        </w:rPr>
        <w:t>Online (via Moodle) learners are provided with video recording of each lecture, copy of PowerPoint slides, a module specific manual, extensive reading list, incorporating professional and academic and non-academic sources. Guest lectures will be introduced to ensure practical knowledge and real-life examples will keep the content relevant.</w:t>
      </w:r>
    </w:p>
    <w:p w14:paraId="40185DBF" w14:textId="77777777" w:rsidR="004F78A8" w:rsidRDefault="004F78A8" w:rsidP="004F78A8">
      <w:pPr>
        <w:suppressAutoHyphens w:val="0"/>
        <w:spacing w:line="259" w:lineRule="auto"/>
        <w:rPr>
          <w:rFonts w:asciiTheme="minorHAnsi" w:hAnsiTheme="minorHAnsi" w:cstheme="minorHAnsi"/>
          <w:color w:val="808080" w:themeColor="background1" w:themeShade="80"/>
          <w:szCs w:val="22"/>
        </w:rPr>
      </w:pPr>
    </w:p>
    <w:p w14:paraId="01D1466D" w14:textId="77777777" w:rsidR="004F78A8" w:rsidRDefault="004F78A8" w:rsidP="004F78A8">
      <w:pPr>
        <w:pStyle w:val="Heading3"/>
      </w:pPr>
      <w:r w:rsidRPr="003A4309">
        <w:t>Module content, organisation and structure</w:t>
      </w:r>
    </w:p>
    <w:p w14:paraId="54877580" w14:textId="77777777" w:rsidR="004F78A8" w:rsidRPr="003A4309" w:rsidRDefault="004F78A8" w:rsidP="004F78A8">
      <w:pPr>
        <w:rPr>
          <w:lang w:eastAsia="en-US"/>
        </w:rPr>
      </w:pPr>
      <w:r>
        <w:rPr>
          <w:lang w:eastAsia="en-US"/>
        </w:rPr>
        <w:t>The following content informs this module:</w:t>
      </w:r>
    </w:p>
    <w:p w14:paraId="6BB3884A" w14:textId="77777777" w:rsidR="004F78A8" w:rsidRPr="003A4309" w:rsidRDefault="004F78A8" w:rsidP="004F78A8">
      <w:pPr>
        <w:rPr>
          <w:rFonts w:asciiTheme="minorHAnsi" w:hAnsiTheme="minorHAnsi" w:cstheme="minorHAnsi"/>
          <w:color w:val="FF0000"/>
          <w:szCs w:val="22"/>
        </w:rPr>
      </w:pPr>
    </w:p>
    <w:tbl>
      <w:tblPr>
        <w:tblStyle w:val="TableGrid0"/>
        <w:tblW w:w="9019" w:type="dxa"/>
        <w:tblInd w:w="16" w:type="dxa"/>
        <w:tblCellMar>
          <w:top w:w="54" w:type="dxa"/>
          <w:left w:w="108" w:type="dxa"/>
          <w:right w:w="115" w:type="dxa"/>
        </w:tblCellMar>
        <w:tblLook w:val="04A0" w:firstRow="1" w:lastRow="0" w:firstColumn="1" w:lastColumn="0" w:noHBand="0" w:noVBand="1"/>
      </w:tblPr>
      <w:tblGrid>
        <w:gridCol w:w="2218"/>
        <w:gridCol w:w="6801"/>
      </w:tblGrid>
      <w:tr w:rsidR="004F78A8" w:rsidRPr="00FF3072" w14:paraId="0AF75BC5" w14:textId="77777777" w:rsidTr="00B54421">
        <w:trPr>
          <w:trHeight w:val="281"/>
        </w:trPr>
        <w:tc>
          <w:tcPr>
            <w:tcW w:w="22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1807917" w14:textId="77777777" w:rsidR="004F78A8" w:rsidRPr="00FF3072" w:rsidRDefault="004F78A8" w:rsidP="00B54421">
            <w:pPr>
              <w:rPr>
                <w:rFonts w:asciiTheme="minorHAnsi" w:hAnsiTheme="minorHAnsi" w:cstheme="minorHAnsi"/>
              </w:rPr>
            </w:pPr>
            <w:r w:rsidRPr="00FF3072">
              <w:rPr>
                <w:rFonts w:asciiTheme="minorHAnsi" w:eastAsia="Garamond" w:hAnsiTheme="minorHAnsi" w:cstheme="minorHAnsi"/>
                <w:b/>
              </w:rPr>
              <w:t xml:space="preserve">TOPIC </w:t>
            </w:r>
          </w:p>
        </w:tc>
        <w:tc>
          <w:tcPr>
            <w:tcW w:w="68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8B24B16" w14:textId="77777777" w:rsidR="004F78A8" w:rsidRPr="00FF3072" w:rsidRDefault="004F78A8" w:rsidP="00B54421">
            <w:pPr>
              <w:jc w:val="center"/>
              <w:rPr>
                <w:rFonts w:asciiTheme="minorHAnsi" w:hAnsiTheme="minorHAnsi" w:cstheme="minorHAnsi"/>
              </w:rPr>
            </w:pPr>
            <w:r w:rsidRPr="00FF3072">
              <w:rPr>
                <w:rFonts w:asciiTheme="minorHAnsi" w:eastAsia="Garamond" w:hAnsiTheme="minorHAnsi" w:cstheme="minorHAnsi"/>
                <w:b/>
              </w:rPr>
              <w:t>DESCRIPTION</w:t>
            </w:r>
          </w:p>
        </w:tc>
      </w:tr>
      <w:tr w:rsidR="004F78A8" w:rsidRPr="00FF3072" w14:paraId="17E11A85" w14:textId="77777777" w:rsidTr="00B54421">
        <w:trPr>
          <w:trHeight w:val="819"/>
        </w:trPr>
        <w:tc>
          <w:tcPr>
            <w:tcW w:w="2218" w:type="dxa"/>
            <w:tcBorders>
              <w:top w:val="single" w:sz="4" w:space="0" w:color="000000"/>
              <w:left w:val="single" w:sz="4" w:space="0" w:color="000000"/>
              <w:bottom w:val="single" w:sz="4" w:space="0" w:color="000000"/>
              <w:right w:val="single" w:sz="4" w:space="0" w:color="000000"/>
            </w:tcBorders>
            <w:vAlign w:val="center"/>
          </w:tcPr>
          <w:p w14:paraId="4E8840B3" w14:textId="77777777" w:rsidR="004F78A8" w:rsidRPr="00FF3072" w:rsidRDefault="004F78A8" w:rsidP="00B54421">
            <w:pPr>
              <w:rPr>
                <w:rFonts w:asciiTheme="minorHAnsi" w:hAnsiTheme="minorHAnsi" w:cstheme="minorHAnsi"/>
              </w:rPr>
            </w:pPr>
            <w:r w:rsidRPr="00FF3072">
              <w:rPr>
                <w:rFonts w:asciiTheme="minorHAnsi" w:eastAsia="Garamond" w:hAnsiTheme="minorHAnsi" w:cstheme="minorHAnsi"/>
                <w:b/>
              </w:rPr>
              <w:t xml:space="preserve">Forms of Business </w:t>
            </w:r>
          </w:p>
          <w:p w14:paraId="5C26EC57" w14:textId="77777777" w:rsidR="004F78A8" w:rsidRPr="003A4309" w:rsidRDefault="004F78A8" w:rsidP="00B54421">
            <w:pPr>
              <w:rPr>
                <w:rFonts w:asciiTheme="minorHAnsi" w:eastAsia="Garamond" w:hAnsiTheme="minorHAnsi" w:cstheme="minorHAnsi"/>
                <w:b/>
                <w:u w:val="single"/>
              </w:rPr>
            </w:pPr>
            <w:r>
              <w:rPr>
                <w:rFonts w:asciiTheme="minorHAnsi" w:eastAsia="Garamond" w:hAnsiTheme="minorHAnsi" w:cstheme="minorHAnsi"/>
                <w:b/>
              </w:rPr>
              <w:t xml:space="preserve">Organisation and </w:t>
            </w:r>
            <w:r w:rsidRPr="003A4309">
              <w:rPr>
                <w:rFonts w:asciiTheme="minorHAnsi" w:eastAsia="Garamond" w:hAnsiTheme="minorHAnsi" w:cstheme="minorHAnsi"/>
                <w:b/>
                <w:u w:val="single"/>
              </w:rPr>
              <w:t>Partnership Law</w:t>
            </w:r>
          </w:p>
          <w:p w14:paraId="5C45B339" w14:textId="77777777" w:rsidR="004F78A8" w:rsidRPr="00FF3072" w:rsidRDefault="004F78A8" w:rsidP="00B54421">
            <w:pPr>
              <w:rPr>
                <w:rFonts w:asciiTheme="minorHAnsi" w:hAnsiTheme="minorHAnsi" w:cstheme="minorHAnsi"/>
              </w:rPr>
            </w:pPr>
            <w:r w:rsidRPr="00FF3072">
              <w:rPr>
                <w:rFonts w:asciiTheme="minorHAnsi" w:eastAsia="Garamond" w:hAnsiTheme="minorHAnsi" w:cstheme="minorHAnsi"/>
                <w:b/>
              </w:rPr>
              <w:t xml:space="preserve">19% (4 hours) </w:t>
            </w:r>
          </w:p>
        </w:tc>
        <w:tc>
          <w:tcPr>
            <w:tcW w:w="6801" w:type="dxa"/>
            <w:tcBorders>
              <w:top w:val="single" w:sz="4" w:space="0" w:color="000000"/>
              <w:left w:val="single" w:sz="4" w:space="0" w:color="000000"/>
              <w:bottom w:val="single" w:sz="4" w:space="0" w:color="000000"/>
              <w:right w:val="single" w:sz="4" w:space="0" w:color="000000"/>
            </w:tcBorders>
            <w:vAlign w:val="center"/>
          </w:tcPr>
          <w:p w14:paraId="78F987F1" w14:textId="77777777" w:rsidR="004F78A8" w:rsidRPr="003A4309" w:rsidRDefault="004F78A8" w:rsidP="00B54421">
            <w:pPr>
              <w:rPr>
                <w:rFonts w:asciiTheme="minorHAnsi" w:eastAsia="Garamond" w:hAnsiTheme="minorHAnsi" w:cstheme="minorHAnsi"/>
              </w:rPr>
            </w:pPr>
            <w:r w:rsidRPr="00FF3072">
              <w:rPr>
                <w:rFonts w:asciiTheme="minorHAnsi" w:eastAsia="Garamond" w:hAnsiTheme="minorHAnsi" w:cstheme="minorHAnsi"/>
              </w:rPr>
              <w:t>Introduction to business law; t</w:t>
            </w:r>
            <w:r>
              <w:rPr>
                <w:rFonts w:asciiTheme="minorHAnsi" w:eastAsia="Garamond" w:hAnsiTheme="minorHAnsi" w:cstheme="minorHAnsi"/>
              </w:rPr>
              <w:t xml:space="preserve">ypes of business organisation. </w:t>
            </w:r>
            <w:r w:rsidRPr="00FF3072">
              <w:rPr>
                <w:rFonts w:asciiTheme="minorHAnsi" w:eastAsia="Garamond" w:hAnsiTheme="minorHAnsi" w:cstheme="minorHAnsi"/>
              </w:rPr>
              <w:t xml:space="preserve">Formation of partnerships; partnership dealings with third parties; relations between partners </w:t>
            </w:r>
            <w:r w:rsidRPr="00FF3072">
              <w:rPr>
                <w:rFonts w:asciiTheme="minorHAnsi" w:eastAsia="Garamond" w:hAnsiTheme="minorHAnsi" w:cstheme="minorHAnsi"/>
                <w:i/>
              </w:rPr>
              <w:t>inter se</w:t>
            </w:r>
            <w:r w:rsidRPr="00FF3072">
              <w:rPr>
                <w:rFonts w:asciiTheme="minorHAnsi" w:eastAsia="Garamond" w:hAnsiTheme="minorHAnsi" w:cstheme="minorHAnsi"/>
              </w:rPr>
              <w:t>; dissolution of partnership.</w:t>
            </w:r>
          </w:p>
        </w:tc>
      </w:tr>
      <w:tr w:rsidR="004F78A8" w:rsidRPr="00FF3072" w14:paraId="59EE7D00" w14:textId="77777777" w:rsidTr="00B54421">
        <w:trPr>
          <w:trHeight w:val="550"/>
        </w:trPr>
        <w:tc>
          <w:tcPr>
            <w:tcW w:w="2218" w:type="dxa"/>
            <w:tcBorders>
              <w:top w:val="single" w:sz="4" w:space="0" w:color="000000"/>
              <w:left w:val="single" w:sz="4" w:space="0" w:color="000000"/>
              <w:bottom w:val="single" w:sz="4" w:space="0" w:color="000000"/>
              <w:right w:val="single" w:sz="4" w:space="0" w:color="000000"/>
            </w:tcBorders>
            <w:vAlign w:val="center"/>
          </w:tcPr>
          <w:p w14:paraId="31C31E6F" w14:textId="77777777" w:rsidR="004F78A8" w:rsidRPr="00FF3072" w:rsidRDefault="004F78A8" w:rsidP="00B54421">
            <w:pPr>
              <w:rPr>
                <w:rFonts w:asciiTheme="minorHAnsi" w:hAnsiTheme="minorHAnsi" w:cstheme="minorHAnsi"/>
              </w:rPr>
            </w:pPr>
            <w:r w:rsidRPr="00FF3072">
              <w:rPr>
                <w:rFonts w:asciiTheme="minorHAnsi" w:eastAsia="Garamond" w:hAnsiTheme="minorHAnsi" w:cstheme="minorHAnsi"/>
                <w:b/>
              </w:rPr>
              <w:t xml:space="preserve">Formation of a </w:t>
            </w:r>
          </w:p>
          <w:p w14:paraId="2573520E" w14:textId="77777777" w:rsidR="004F78A8" w:rsidRPr="00FF3072" w:rsidRDefault="004F78A8" w:rsidP="00B54421">
            <w:pPr>
              <w:rPr>
                <w:rFonts w:asciiTheme="minorHAnsi" w:eastAsia="Garamond" w:hAnsiTheme="minorHAnsi" w:cstheme="minorHAnsi"/>
                <w:b/>
              </w:rPr>
            </w:pPr>
            <w:r>
              <w:rPr>
                <w:rFonts w:asciiTheme="minorHAnsi" w:eastAsia="Garamond" w:hAnsiTheme="minorHAnsi" w:cstheme="minorHAnsi"/>
                <w:b/>
              </w:rPr>
              <w:t xml:space="preserve">Company </w:t>
            </w:r>
            <w:r w:rsidRPr="00FF3072">
              <w:rPr>
                <w:rFonts w:asciiTheme="minorHAnsi" w:eastAsia="Garamond" w:hAnsiTheme="minorHAnsi" w:cstheme="minorHAnsi"/>
                <w:b/>
              </w:rPr>
              <w:t xml:space="preserve">and </w:t>
            </w:r>
          </w:p>
          <w:p w14:paraId="541FB2BC" w14:textId="77777777" w:rsidR="004F78A8" w:rsidRPr="003A4309" w:rsidRDefault="004F78A8" w:rsidP="00B54421">
            <w:pPr>
              <w:rPr>
                <w:rFonts w:asciiTheme="minorHAnsi" w:eastAsia="Garamond" w:hAnsiTheme="minorHAnsi" w:cstheme="minorHAnsi"/>
                <w:b/>
                <w:u w:val="single"/>
              </w:rPr>
            </w:pPr>
            <w:r w:rsidRPr="003A4309">
              <w:rPr>
                <w:rFonts w:asciiTheme="minorHAnsi" w:eastAsia="Garamond" w:hAnsiTheme="minorHAnsi" w:cstheme="minorHAnsi"/>
                <w:b/>
                <w:u w:val="single"/>
              </w:rPr>
              <w:t>Corporate Borrowing</w:t>
            </w:r>
          </w:p>
          <w:p w14:paraId="5F18B35B" w14:textId="77777777" w:rsidR="004F78A8" w:rsidRPr="003A4309" w:rsidRDefault="004F78A8" w:rsidP="00B54421">
            <w:pPr>
              <w:rPr>
                <w:rFonts w:asciiTheme="minorHAnsi" w:eastAsia="Garamond" w:hAnsiTheme="minorHAnsi" w:cstheme="minorHAnsi"/>
                <w:b/>
                <w:bCs/>
              </w:rPr>
            </w:pPr>
            <w:r>
              <w:rPr>
                <w:rFonts w:asciiTheme="minorHAnsi" w:eastAsia="Garamond" w:hAnsiTheme="minorHAnsi" w:cstheme="minorHAnsi"/>
                <w:b/>
                <w:bCs/>
              </w:rPr>
              <w:t>19% (4 hours)</w:t>
            </w:r>
          </w:p>
        </w:tc>
        <w:tc>
          <w:tcPr>
            <w:tcW w:w="6801" w:type="dxa"/>
            <w:tcBorders>
              <w:top w:val="single" w:sz="4" w:space="0" w:color="000000"/>
              <w:left w:val="single" w:sz="4" w:space="0" w:color="000000"/>
              <w:bottom w:val="single" w:sz="4" w:space="0" w:color="000000"/>
              <w:right w:val="single" w:sz="4" w:space="0" w:color="000000"/>
            </w:tcBorders>
            <w:vAlign w:val="center"/>
          </w:tcPr>
          <w:p w14:paraId="51A59AD3" w14:textId="77777777" w:rsidR="004F78A8" w:rsidRPr="003A4309" w:rsidRDefault="004F78A8" w:rsidP="00B54421">
            <w:pPr>
              <w:rPr>
                <w:rFonts w:asciiTheme="minorHAnsi" w:eastAsia="Garamond" w:hAnsiTheme="minorHAnsi" w:cstheme="minorHAnsi"/>
              </w:rPr>
            </w:pPr>
            <w:r w:rsidRPr="00FF3072">
              <w:rPr>
                <w:rFonts w:asciiTheme="minorHAnsi" w:eastAsia="Garamond" w:hAnsiTheme="minorHAnsi" w:cstheme="minorHAnsi"/>
              </w:rPr>
              <w:t>Incorporation and documentation; corporate personality and limited liability; ar</w:t>
            </w:r>
            <w:r>
              <w:rPr>
                <w:rFonts w:asciiTheme="minorHAnsi" w:eastAsia="Garamond" w:hAnsiTheme="minorHAnsi" w:cstheme="minorHAnsi"/>
              </w:rPr>
              <w:t xml:space="preserve">ticle and memo of association. </w:t>
            </w:r>
          </w:p>
          <w:p w14:paraId="593178A7" w14:textId="77777777" w:rsidR="004F78A8" w:rsidRPr="00FF3072" w:rsidRDefault="004F78A8" w:rsidP="00B54421">
            <w:pPr>
              <w:rPr>
                <w:rFonts w:asciiTheme="minorHAnsi" w:hAnsiTheme="minorHAnsi" w:cstheme="minorHAnsi"/>
              </w:rPr>
            </w:pPr>
            <w:r w:rsidRPr="00FF3072">
              <w:rPr>
                <w:rFonts w:asciiTheme="minorHAnsi" w:eastAsia="Garamond" w:hAnsiTheme="minorHAnsi" w:cstheme="minorHAnsi"/>
              </w:rPr>
              <w:t>Fixed charges; floating charges; fixed charge over Book Debts; registration of charges and priorities; capital maintenance.</w:t>
            </w:r>
          </w:p>
        </w:tc>
      </w:tr>
      <w:tr w:rsidR="004F78A8" w:rsidRPr="00FF3072" w14:paraId="0D7378F9" w14:textId="77777777" w:rsidTr="00B54421">
        <w:trPr>
          <w:trHeight w:val="821"/>
        </w:trPr>
        <w:tc>
          <w:tcPr>
            <w:tcW w:w="2218" w:type="dxa"/>
            <w:tcBorders>
              <w:top w:val="single" w:sz="4" w:space="0" w:color="000000"/>
              <w:left w:val="single" w:sz="4" w:space="0" w:color="000000"/>
              <w:bottom w:val="single" w:sz="4" w:space="0" w:color="000000"/>
              <w:right w:val="single" w:sz="4" w:space="0" w:color="000000"/>
            </w:tcBorders>
            <w:vAlign w:val="center"/>
          </w:tcPr>
          <w:p w14:paraId="2D3E5D24" w14:textId="77777777" w:rsidR="004F78A8" w:rsidRPr="003A4309" w:rsidRDefault="004F78A8" w:rsidP="00B54421">
            <w:pPr>
              <w:rPr>
                <w:rFonts w:asciiTheme="minorHAnsi" w:eastAsia="Garamond" w:hAnsiTheme="minorHAnsi" w:cstheme="minorHAnsi"/>
                <w:b/>
                <w:u w:val="single"/>
              </w:rPr>
            </w:pPr>
            <w:r w:rsidRPr="003A4309">
              <w:rPr>
                <w:rFonts w:asciiTheme="minorHAnsi" w:eastAsia="Garamond" w:hAnsiTheme="minorHAnsi" w:cstheme="minorHAnsi"/>
                <w:b/>
                <w:u w:val="single"/>
              </w:rPr>
              <w:t xml:space="preserve">Directors </w:t>
            </w:r>
          </w:p>
          <w:p w14:paraId="4C87F662" w14:textId="77777777" w:rsidR="004F78A8" w:rsidRPr="00FF3072" w:rsidRDefault="004F78A8" w:rsidP="00B54421">
            <w:pPr>
              <w:rPr>
                <w:rFonts w:asciiTheme="minorHAnsi" w:hAnsiTheme="minorHAnsi" w:cstheme="minorHAnsi"/>
                <w:b/>
                <w:bCs/>
              </w:rPr>
            </w:pPr>
            <w:r w:rsidRPr="00FF3072">
              <w:rPr>
                <w:rFonts w:asciiTheme="minorHAnsi" w:hAnsiTheme="minorHAnsi" w:cstheme="minorHAnsi"/>
                <w:b/>
                <w:bCs/>
              </w:rPr>
              <w:t>19% (4 hours)</w:t>
            </w:r>
          </w:p>
        </w:tc>
        <w:tc>
          <w:tcPr>
            <w:tcW w:w="6801" w:type="dxa"/>
            <w:tcBorders>
              <w:top w:val="single" w:sz="4" w:space="0" w:color="000000"/>
              <w:left w:val="single" w:sz="4" w:space="0" w:color="000000"/>
              <w:bottom w:val="single" w:sz="4" w:space="0" w:color="000000"/>
              <w:right w:val="single" w:sz="4" w:space="0" w:color="000000"/>
            </w:tcBorders>
            <w:vAlign w:val="center"/>
          </w:tcPr>
          <w:p w14:paraId="1703F24F" w14:textId="77777777" w:rsidR="004F78A8" w:rsidRPr="003A4309" w:rsidRDefault="004F78A8" w:rsidP="00B54421">
            <w:pPr>
              <w:ind w:right="140"/>
              <w:rPr>
                <w:rFonts w:asciiTheme="minorHAnsi" w:eastAsia="Garamond" w:hAnsiTheme="minorHAnsi" w:cstheme="minorHAnsi"/>
              </w:rPr>
            </w:pPr>
            <w:r w:rsidRPr="00FF3072">
              <w:rPr>
                <w:rFonts w:asciiTheme="minorHAnsi" w:eastAsia="Garamond" w:hAnsiTheme="minorHAnsi" w:cstheme="minorHAnsi"/>
              </w:rPr>
              <w:t>Directors’ duties; to whom are such duties owed; statutory duties; reckless and fraudulent trading; corporate enfo</w:t>
            </w:r>
            <w:r>
              <w:rPr>
                <w:rFonts w:asciiTheme="minorHAnsi" w:eastAsia="Garamond" w:hAnsiTheme="minorHAnsi" w:cstheme="minorHAnsi"/>
              </w:rPr>
              <w:t xml:space="preserve">rcement; shareholder’s rights. </w:t>
            </w:r>
          </w:p>
        </w:tc>
      </w:tr>
      <w:tr w:rsidR="004F78A8" w:rsidRPr="00FF3072" w14:paraId="0BAA1A0E" w14:textId="77777777" w:rsidTr="00B54421">
        <w:trPr>
          <w:trHeight w:val="550"/>
        </w:trPr>
        <w:tc>
          <w:tcPr>
            <w:tcW w:w="2218" w:type="dxa"/>
            <w:tcBorders>
              <w:top w:val="single" w:sz="4" w:space="0" w:color="000000"/>
              <w:left w:val="single" w:sz="4" w:space="0" w:color="000000"/>
              <w:bottom w:val="single" w:sz="4" w:space="0" w:color="000000"/>
              <w:right w:val="single" w:sz="4" w:space="0" w:color="000000"/>
            </w:tcBorders>
            <w:vAlign w:val="center"/>
          </w:tcPr>
          <w:p w14:paraId="21F4ABBF" w14:textId="77777777" w:rsidR="004F78A8" w:rsidRPr="003A4309" w:rsidRDefault="004F78A8" w:rsidP="00B54421">
            <w:pPr>
              <w:rPr>
                <w:rFonts w:asciiTheme="minorHAnsi" w:eastAsia="Garamond" w:hAnsiTheme="minorHAnsi" w:cstheme="minorHAnsi"/>
                <w:b/>
                <w:u w:val="single"/>
              </w:rPr>
            </w:pPr>
            <w:r w:rsidRPr="003A4309">
              <w:rPr>
                <w:rFonts w:asciiTheme="minorHAnsi" w:eastAsia="Garamond" w:hAnsiTheme="minorHAnsi" w:cstheme="minorHAnsi"/>
                <w:b/>
                <w:u w:val="single"/>
              </w:rPr>
              <w:t xml:space="preserve">Winding up </w:t>
            </w:r>
          </w:p>
          <w:p w14:paraId="426D7635" w14:textId="77777777" w:rsidR="004F78A8" w:rsidRPr="00FF3072" w:rsidRDefault="004F78A8" w:rsidP="00B54421">
            <w:pPr>
              <w:rPr>
                <w:rFonts w:asciiTheme="minorHAnsi" w:hAnsiTheme="minorHAnsi" w:cstheme="minorHAnsi"/>
                <w:b/>
                <w:bCs/>
              </w:rPr>
            </w:pPr>
            <w:r w:rsidRPr="00FF3072">
              <w:rPr>
                <w:rFonts w:asciiTheme="minorHAnsi" w:hAnsiTheme="minorHAnsi" w:cstheme="minorHAnsi"/>
                <w:b/>
                <w:bCs/>
              </w:rPr>
              <w:t>19% (4 hours)</w:t>
            </w:r>
          </w:p>
        </w:tc>
        <w:tc>
          <w:tcPr>
            <w:tcW w:w="6801" w:type="dxa"/>
            <w:tcBorders>
              <w:top w:val="single" w:sz="4" w:space="0" w:color="000000"/>
              <w:left w:val="single" w:sz="4" w:space="0" w:color="000000"/>
              <w:bottom w:val="single" w:sz="4" w:space="0" w:color="000000"/>
              <w:right w:val="single" w:sz="4" w:space="0" w:color="000000"/>
            </w:tcBorders>
            <w:vAlign w:val="center"/>
          </w:tcPr>
          <w:p w14:paraId="7C5CB574" w14:textId="77777777" w:rsidR="004F78A8" w:rsidRPr="00FF3072" w:rsidRDefault="004F78A8" w:rsidP="00B54421">
            <w:pPr>
              <w:rPr>
                <w:rFonts w:asciiTheme="minorHAnsi" w:hAnsiTheme="minorHAnsi" w:cstheme="minorHAnsi"/>
              </w:rPr>
            </w:pPr>
            <w:r w:rsidRPr="00FF3072">
              <w:rPr>
                <w:rFonts w:asciiTheme="minorHAnsi" w:eastAsia="Garamond" w:hAnsiTheme="minorHAnsi" w:cstheme="minorHAnsi"/>
              </w:rPr>
              <w:t xml:space="preserve">Distinguish between voluntary and involuntary liquidation; receivership; examinership. </w:t>
            </w:r>
          </w:p>
        </w:tc>
      </w:tr>
      <w:tr w:rsidR="004F78A8" w:rsidRPr="00FF3072" w14:paraId="3ED78FFD" w14:textId="77777777" w:rsidTr="00B54421">
        <w:trPr>
          <w:trHeight w:val="1090"/>
        </w:trPr>
        <w:tc>
          <w:tcPr>
            <w:tcW w:w="2218" w:type="dxa"/>
            <w:tcBorders>
              <w:top w:val="single" w:sz="4" w:space="0" w:color="000000"/>
              <w:left w:val="single" w:sz="4" w:space="0" w:color="000000"/>
              <w:bottom w:val="single" w:sz="4" w:space="0" w:color="000000"/>
              <w:right w:val="single" w:sz="4" w:space="0" w:color="000000"/>
            </w:tcBorders>
            <w:vAlign w:val="center"/>
          </w:tcPr>
          <w:p w14:paraId="17B648C1" w14:textId="77777777" w:rsidR="004F78A8" w:rsidRPr="003A4309" w:rsidRDefault="004F78A8" w:rsidP="00B54421">
            <w:pPr>
              <w:rPr>
                <w:rFonts w:asciiTheme="minorHAnsi" w:eastAsia="Garamond" w:hAnsiTheme="minorHAnsi" w:cstheme="minorHAnsi"/>
                <w:b/>
                <w:u w:val="single"/>
              </w:rPr>
            </w:pPr>
            <w:r w:rsidRPr="00FF3072">
              <w:rPr>
                <w:rFonts w:asciiTheme="minorHAnsi" w:eastAsia="Garamond" w:hAnsiTheme="minorHAnsi" w:cstheme="minorHAnsi"/>
                <w:b/>
              </w:rPr>
              <w:t xml:space="preserve">Practice and </w:t>
            </w:r>
            <w:r w:rsidRPr="003A4309">
              <w:rPr>
                <w:rFonts w:asciiTheme="minorHAnsi" w:eastAsia="Garamond" w:hAnsiTheme="minorHAnsi" w:cstheme="minorHAnsi"/>
                <w:b/>
                <w:u w:val="single"/>
              </w:rPr>
              <w:t xml:space="preserve">Procedure </w:t>
            </w:r>
          </w:p>
          <w:p w14:paraId="4711DA65" w14:textId="77777777" w:rsidR="004F78A8" w:rsidRPr="00FF3072" w:rsidRDefault="004F78A8" w:rsidP="00B54421">
            <w:pPr>
              <w:rPr>
                <w:rFonts w:asciiTheme="minorHAnsi" w:hAnsiTheme="minorHAnsi" w:cstheme="minorHAnsi"/>
                <w:b/>
                <w:bCs/>
              </w:rPr>
            </w:pPr>
            <w:r w:rsidRPr="00FF3072">
              <w:rPr>
                <w:rFonts w:asciiTheme="minorHAnsi" w:hAnsiTheme="minorHAnsi" w:cstheme="minorHAnsi"/>
                <w:b/>
                <w:bCs/>
              </w:rPr>
              <w:t>19% (4 hours)</w:t>
            </w:r>
          </w:p>
        </w:tc>
        <w:tc>
          <w:tcPr>
            <w:tcW w:w="6801" w:type="dxa"/>
            <w:tcBorders>
              <w:top w:val="single" w:sz="4" w:space="0" w:color="000000"/>
              <w:left w:val="single" w:sz="4" w:space="0" w:color="000000"/>
              <w:bottom w:val="single" w:sz="4" w:space="0" w:color="000000"/>
              <w:right w:val="single" w:sz="4" w:space="0" w:color="000000"/>
            </w:tcBorders>
            <w:vAlign w:val="center"/>
          </w:tcPr>
          <w:p w14:paraId="12F43D12" w14:textId="77777777" w:rsidR="004F78A8" w:rsidRPr="00FF3072" w:rsidRDefault="004F78A8" w:rsidP="00B54421">
            <w:pPr>
              <w:ind w:right="5"/>
              <w:rPr>
                <w:rFonts w:asciiTheme="minorHAnsi" w:hAnsiTheme="minorHAnsi" w:cstheme="minorHAnsi"/>
              </w:rPr>
            </w:pPr>
            <w:r w:rsidRPr="00FF3072">
              <w:rPr>
                <w:rFonts w:asciiTheme="minorHAnsi" w:eastAsia="Garamond" w:hAnsiTheme="minorHAnsi" w:cstheme="minorHAnsi"/>
              </w:rPr>
              <w:t xml:space="preserve">Correctly identifying who may sue and be sued; the correct identification of parties to litigation; petitioning the court; remedies for minority shareholders; company returns and compliance with the accounting procedures. </w:t>
            </w:r>
          </w:p>
        </w:tc>
      </w:tr>
      <w:tr w:rsidR="004F78A8" w:rsidRPr="00FF3072" w14:paraId="418B5C81" w14:textId="77777777" w:rsidTr="00B54421">
        <w:trPr>
          <w:trHeight w:val="1090"/>
        </w:trPr>
        <w:tc>
          <w:tcPr>
            <w:tcW w:w="2218" w:type="dxa"/>
            <w:tcBorders>
              <w:top w:val="single" w:sz="4" w:space="0" w:color="000000"/>
              <w:left w:val="single" w:sz="4" w:space="0" w:color="000000"/>
              <w:bottom w:val="single" w:sz="4" w:space="0" w:color="000000"/>
              <w:right w:val="single" w:sz="4" w:space="0" w:color="000000"/>
            </w:tcBorders>
            <w:vAlign w:val="center"/>
          </w:tcPr>
          <w:p w14:paraId="6EBBBC71" w14:textId="77777777" w:rsidR="004F78A8" w:rsidRPr="003A4309" w:rsidRDefault="004F78A8" w:rsidP="00B54421">
            <w:pPr>
              <w:rPr>
                <w:rFonts w:asciiTheme="minorHAnsi" w:eastAsia="Garamond" w:hAnsiTheme="minorHAnsi" w:cstheme="minorHAnsi"/>
                <w:b/>
                <w:u w:val="single"/>
              </w:rPr>
            </w:pPr>
            <w:r w:rsidRPr="00FF3072">
              <w:rPr>
                <w:rFonts w:asciiTheme="minorHAnsi" w:eastAsia="Garamond" w:hAnsiTheme="minorHAnsi" w:cstheme="minorHAnsi"/>
                <w:b/>
              </w:rPr>
              <w:t xml:space="preserve">Review and Revision </w:t>
            </w:r>
            <w:r w:rsidRPr="003A4309">
              <w:rPr>
                <w:rFonts w:asciiTheme="minorHAnsi" w:eastAsia="Garamond" w:hAnsiTheme="minorHAnsi" w:cstheme="minorHAnsi"/>
                <w:b/>
                <w:u w:val="single"/>
              </w:rPr>
              <w:t>Class</w:t>
            </w:r>
          </w:p>
          <w:p w14:paraId="33392B98" w14:textId="77777777" w:rsidR="004F78A8" w:rsidRPr="00FF3072" w:rsidRDefault="004F78A8" w:rsidP="00B54421">
            <w:pPr>
              <w:rPr>
                <w:rFonts w:asciiTheme="minorHAnsi" w:eastAsia="Garamond" w:hAnsiTheme="minorHAnsi" w:cstheme="minorHAnsi"/>
                <w:b/>
              </w:rPr>
            </w:pPr>
            <w:r w:rsidRPr="00FF3072">
              <w:rPr>
                <w:rFonts w:asciiTheme="minorHAnsi" w:eastAsia="Garamond" w:hAnsiTheme="minorHAnsi" w:cstheme="minorHAnsi"/>
                <w:b/>
              </w:rPr>
              <w:t>5% (1 hour)</w:t>
            </w:r>
          </w:p>
        </w:tc>
        <w:tc>
          <w:tcPr>
            <w:tcW w:w="6801" w:type="dxa"/>
            <w:tcBorders>
              <w:top w:val="single" w:sz="4" w:space="0" w:color="000000"/>
              <w:left w:val="single" w:sz="4" w:space="0" w:color="000000"/>
              <w:bottom w:val="single" w:sz="4" w:space="0" w:color="000000"/>
              <w:right w:val="single" w:sz="4" w:space="0" w:color="000000"/>
            </w:tcBorders>
            <w:vAlign w:val="center"/>
          </w:tcPr>
          <w:p w14:paraId="334A3977" w14:textId="77777777" w:rsidR="004F78A8" w:rsidRPr="00FF3072" w:rsidRDefault="004F78A8" w:rsidP="00B54421">
            <w:pPr>
              <w:ind w:right="5"/>
              <w:rPr>
                <w:rFonts w:asciiTheme="minorHAnsi" w:eastAsia="Garamond" w:hAnsiTheme="minorHAnsi" w:cstheme="minorHAnsi"/>
              </w:rPr>
            </w:pPr>
            <w:r w:rsidRPr="00FF3072">
              <w:rPr>
                <w:rFonts w:asciiTheme="minorHAnsi" w:eastAsia="Garamond" w:hAnsiTheme="minorHAnsi" w:cstheme="minorHAnsi"/>
              </w:rPr>
              <w:t xml:space="preserve">A review of the course, highlighting the most important areas in the legislation and case law. </w:t>
            </w:r>
          </w:p>
        </w:tc>
      </w:tr>
    </w:tbl>
    <w:p w14:paraId="1A688547" w14:textId="77777777" w:rsidR="004F78A8" w:rsidRPr="00FF3072" w:rsidRDefault="004F78A8" w:rsidP="004F78A8">
      <w:pPr>
        <w:rPr>
          <w:rFonts w:asciiTheme="minorHAnsi" w:hAnsiTheme="minorHAnsi" w:cstheme="minorHAnsi"/>
          <w:iCs/>
          <w:szCs w:val="22"/>
        </w:rPr>
      </w:pPr>
    </w:p>
    <w:p w14:paraId="36CDA20D" w14:textId="77777777" w:rsidR="004F78A8" w:rsidRPr="003A4309" w:rsidRDefault="004F78A8" w:rsidP="004F78A8">
      <w:pPr>
        <w:pStyle w:val="Heading3"/>
      </w:pPr>
      <w:r w:rsidRPr="003A4309">
        <w:t>Module teaching and learning (including formative assessment) strategy</w:t>
      </w:r>
    </w:p>
    <w:p w14:paraId="09CE9B7A" w14:textId="77777777" w:rsidR="004F78A8" w:rsidRPr="00FF3072" w:rsidRDefault="004F78A8" w:rsidP="004F78A8">
      <w:pPr>
        <w:jc w:val="both"/>
        <w:rPr>
          <w:rFonts w:asciiTheme="minorHAnsi" w:hAnsiTheme="minorHAnsi" w:cstheme="minorHAnsi"/>
          <w:color w:val="000000" w:themeColor="text1"/>
          <w:szCs w:val="22"/>
        </w:rPr>
      </w:pPr>
      <w:r w:rsidRPr="00FF3072">
        <w:rPr>
          <w:rFonts w:asciiTheme="minorHAnsi" w:hAnsiTheme="minorHAnsi" w:cstheme="minorHAnsi"/>
          <w:szCs w:val="22"/>
        </w:rPr>
        <w:t>T</w:t>
      </w:r>
      <w:r>
        <w:rPr>
          <w:rFonts w:asciiTheme="minorHAnsi" w:hAnsiTheme="minorHAnsi" w:cstheme="minorHAnsi"/>
          <w:szCs w:val="22"/>
        </w:rPr>
        <w:t>his module is</w:t>
      </w:r>
      <w:r w:rsidRPr="00FF3072">
        <w:rPr>
          <w:rFonts w:asciiTheme="minorHAnsi" w:hAnsiTheme="minorHAnsi" w:cstheme="minorHAnsi"/>
          <w:szCs w:val="22"/>
        </w:rPr>
        <w:t xml:space="preserve"> delivered through a series of lectures. Learners engage with the module</w:t>
      </w:r>
      <w:r>
        <w:rPr>
          <w:rFonts w:asciiTheme="minorHAnsi" w:hAnsiTheme="minorHAnsi" w:cstheme="minorHAnsi"/>
          <w:szCs w:val="22"/>
        </w:rPr>
        <w:t xml:space="preserve"> either in class; online via the</w:t>
      </w:r>
      <w:r w:rsidRPr="00FF3072">
        <w:rPr>
          <w:rFonts w:asciiTheme="minorHAnsi" w:hAnsiTheme="minorHAnsi" w:cstheme="minorHAnsi"/>
          <w:szCs w:val="22"/>
        </w:rPr>
        <w:t xml:space="preserve"> online streaming option or via recorded lectures. On</w:t>
      </w:r>
      <w:r>
        <w:rPr>
          <w:rFonts w:asciiTheme="minorHAnsi" w:hAnsiTheme="minorHAnsi" w:cstheme="minorHAnsi"/>
          <w:szCs w:val="22"/>
        </w:rPr>
        <w:t xml:space="preserve"> Moodle, virtual learning environment</w:t>
      </w:r>
      <w:r w:rsidRPr="00FF3072">
        <w:rPr>
          <w:rFonts w:asciiTheme="minorHAnsi" w:hAnsiTheme="minorHAnsi" w:cstheme="minorHAnsi"/>
          <w:szCs w:val="22"/>
        </w:rPr>
        <w:t>, the lecturer can interact wit</w:t>
      </w:r>
      <w:r>
        <w:rPr>
          <w:rFonts w:asciiTheme="minorHAnsi" w:hAnsiTheme="minorHAnsi" w:cstheme="minorHAnsi"/>
          <w:szCs w:val="22"/>
        </w:rPr>
        <w:t>h learners</w:t>
      </w:r>
      <w:r w:rsidRPr="00FF3072">
        <w:rPr>
          <w:rFonts w:asciiTheme="minorHAnsi" w:hAnsiTheme="minorHAnsi" w:cstheme="minorHAnsi"/>
          <w:szCs w:val="22"/>
        </w:rPr>
        <w:t xml:space="preserve"> via the class discussion forum and upload relevant additional learning material e.g. legal articles, case law, study aids and relevant multimedia. The module comprises of 21 contact hours, being 20 lecture hours and one revision/exam preparation class. Formative assessment is provided in the form of interactive exercises such as tutorial style discussions, quizzes, directed class discussion topics and collaborative group work.</w:t>
      </w:r>
      <w:r>
        <w:rPr>
          <w:rFonts w:asciiTheme="minorHAnsi" w:hAnsiTheme="minorHAnsi" w:cstheme="minorHAnsi"/>
          <w:szCs w:val="22"/>
        </w:rPr>
        <w:t xml:space="preserve"> </w:t>
      </w:r>
      <w:r w:rsidRPr="00FF3072">
        <w:rPr>
          <w:rFonts w:asciiTheme="minorHAnsi" w:hAnsiTheme="minorHAnsi" w:cstheme="minorHAnsi"/>
          <w:szCs w:val="22"/>
        </w:rPr>
        <w:t xml:space="preserve"> </w:t>
      </w:r>
    </w:p>
    <w:p w14:paraId="562F4720" w14:textId="77777777" w:rsidR="004F78A8" w:rsidRPr="00FF3072" w:rsidRDefault="004F78A8" w:rsidP="004F78A8">
      <w:pPr>
        <w:rPr>
          <w:rFonts w:asciiTheme="minorHAnsi" w:hAnsiTheme="minorHAnsi" w:cstheme="minorHAnsi"/>
          <w:szCs w:val="22"/>
          <w:lang w:eastAsia="en-US"/>
        </w:rPr>
      </w:pPr>
    </w:p>
    <w:p w14:paraId="6EC86C1E" w14:textId="77777777" w:rsidR="004F78A8" w:rsidRPr="003A4309" w:rsidRDefault="004F78A8" w:rsidP="004F78A8">
      <w:pPr>
        <w:pStyle w:val="Heading3"/>
      </w:pPr>
      <w:r w:rsidRPr="003A4309">
        <w:t>Work-based learning and practice-placement</w:t>
      </w:r>
    </w:p>
    <w:p w14:paraId="19E89E68" w14:textId="77777777" w:rsidR="004F78A8" w:rsidRPr="00FF3072" w:rsidRDefault="004F78A8" w:rsidP="004F78A8">
      <w:pPr>
        <w:rPr>
          <w:rFonts w:asciiTheme="minorHAnsi" w:hAnsiTheme="minorHAnsi" w:cstheme="minorHAnsi"/>
          <w:szCs w:val="22"/>
        </w:rPr>
      </w:pPr>
      <w:r>
        <w:rPr>
          <w:rFonts w:asciiTheme="minorHAnsi" w:hAnsiTheme="minorHAnsi" w:cstheme="minorHAnsi"/>
          <w:szCs w:val="22"/>
        </w:rPr>
        <w:t>There is no work-</w:t>
      </w:r>
      <w:r w:rsidRPr="00FF3072">
        <w:rPr>
          <w:rFonts w:asciiTheme="minorHAnsi" w:hAnsiTheme="minorHAnsi" w:cstheme="minorHAnsi"/>
          <w:szCs w:val="22"/>
        </w:rPr>
        <w:t>based learning or practical placement in the module.</w:t>
      </w:r>
    </w:p>
    <w:p w14:paraId="0C11B7A7" w14:textId="77777777" w:rsidR="004F78A8" w:rsidRPr="00FF3072" w:rsidRDefault="004F78A8" w:rsidP="004F78A8">
      <w:pPr>
        <w:rPr>
          <w:rFonts w:asciiTheme="minorHAnsi" w:hAnsiTheme="minorHAnsi" w:cstheme="minorHAnsi"/>
          <w:szCs w:val="22"/>
        </w:rPr>
      </w:pPr>
    </w:p>
    <w:p w14:paraId="1EBF3A2B" w14:textId="77777777" w:rsidR="004F78A8" w:rsidRPr="003A4309" w:rsidRDefault="004F78A8" w:rsidP="004F78A8">
      <w:pPr>
        <w:pStyle w:val="Heading3"/>
      </w:pPr>
      <w:r w:rsidRPr="003A4309">
        <w:lastRenderedPageBreak/>
        <w:t>E-learning</w:t>
      </w:r>
    </w:p>
    <w:p w14:paraId="29273573" w14:textId="77777777" w:rsidR="004F78A8" w:rsidRPr="00FF3072" w:rsidRDefault="004F78A8" w:rsidP="004F78A8">
      <w:pPr>
        <w:jc w:val="both"/>
        <w:rPr>
          <w:rFonts w:asciiTheme="minorHAnsi" w:hAnsiTheme="minorHAnsi" w:cstheme="minorHAnsi"/>
          <w:szCs w:val="22"/>
        </w:rPr>
      </w:pPr>
      <w:r w:rsidRPr="00FF3072">
        <w:rPr>
          <w:rFonts w:asciiTheme="minorHAnsi" w:hAnsiTheme="minorHAnsi" w:cstheme="minorHAnsi"/>
          <w:szCs w:val="22"/>
        </w:rPr>
        <w:t xml:space="preserve">Griffith College uses Moodle, a virtual learning environment, to support its delivery of e-learning activities in the form of peer-to-peer support based around activities where </w:t>
      </w:r>
      <w:r>
        <w:rPr>
          <w:rFonts w:asciiTheme="minorHAnsi" w:hAnsiTheme="minorHAnsi" w:cstheme="minorHAnsi"/>
          <w:szCs w:val="22"/>
        </w:rPr>
        <w:t>learners</w:t>
      </w:r>
      <w:r w:rsidRPr="00FF3072">
        <w:rPr>
          <w:rFonts w:asciiTheme="minorHAnsi" w:hAnsiTheme="minorHAnsi" w:cstheme="minorHAnsi"/>
          <w:szCs w:val="22"/>
        </w:rPr>
        <w:t xml:space="preserve"> give and receive feedback, forums where </w:t>
      </w:r>
      <w:r>
        <w:rPr>
          <w:rFonts w:asciiTheme="minorHAnsi" w:hAnsiTheme="minorHAnsi" w:cstheme="minorHAnsi"/>
          <w:szCs w:val="22"/>
        </w:rPr>
        <w:t>learners</w:t>
      </w:r>
      <w:r w:rsidRPr="00FF3072">
        <w:rPr>
          <w:rFonts w:asciiTheme="minorHAnsi" w:hAnsiTheme="minorHAnsi" w:cstheme="minorHAnsi"/>
          <w:szCs w:val="22"/>
        </w:rPr>
        <w:t xml:space="preserve"> must contribute, formative quizzes and video links.</w:t>
      </w:r>
    </w:p>
    <w:p w14:paraId="603A4E99" w14:textId="77777777" w:rsidR="004F78A8" w:rsidRPr="00FF3072" w:rsidRDefault="004F78A8" w:rsidP="004F78A8">
      <w:pPr>
        <w:rPr>
          <w:rFonts w:asciiTheme="minorHAnsi" w:hAnsiTheme="minorHAnsi" w:cstheme="minorHAnsi"/>
          <w:szCs w:val="22"/>
        </w:rPr>
      </w:pPr>
    </w:p>
    <w:p w14:paraId="37E62AE9" w14:textId="77777777" w:rsidR="004F78A8" w:rsidRPr="003A4309" w:rsidRDefault="004F78A8" w:rsidP="004F78A8">
      <w:pPr>
        <w:pStyle w:val="Heading3"/>
      </w:pPr>
      <w:r w:rsidRPr="003A4309">
        <w:t>Module physical resource requirements</w:t>
      </w:r>
    </w:p>
    <w:p w14:paraId="1408F2A1" w14:textId="77777777" w:rsidR="004F78A8" w:rsidRPr="00FF3072" w:rsidRDefault="004F78A8" w:rsidP="004F78A8">
      <w:pPr>
        <w:jc w:val="both"/>
        <w:rPr>
          <w:rFonts w:asciiTheme="minorHAnsi" w:hAnsiTheme="minorHAnsi" w:cstheme="minorHAnsi"/>
          <w:szCs w:val="22"/>
        </w:rPr>
      </w:pPr>
      <w:r w:rsidRPr="00FF3072">
        <w:rPr>
          <w:rFonts w:asciiTheme="minorHAnsi" w:hAnsiTheme="minorHAnsi" w:cstheme="minorHAnsi"/>
          <w:szCs w:val="22"/>
        </w:rPr>
        <w:t xml:space="preserve">Requirements are for a fully equipped classroom. The classroom has </w:t>
      </w:r>
      <w:r>
        <w:rPr>
          <w:rFonts w:asciiTheme="minorHAnsi" w:hAnsiTheme="minorHAnsi" w:cstheme="minorHAnsi"/>
          <w:szCs w:val="22"/>
        </w:rPr>
        <w:t>Wi-Fi</w:t>
      </w:r>
      <w:r w:rsidRPr="00FF3072">
        <w:rPr>
          <w:rFonts w:asciiTheme="minorHAnsi" w:hAnsiTheme="minorHAnsi" w:cstheme="minorHAnsi"/>
          <w:szCs w:val="22"/>
        </w:rPr>
        <w:t xml:space="preserve"> access and is equipped with a PC with Zoom and Microsoft Office. In addition the classroom has digital recording facilities and digital projector. No other software is required for this module.</w:t>
      </w:r>
      <w:r>
        <w:rPr>
          <w:rFonts w:asciiTheme="minorHAnsi" w:hAnsiTheme="minorHAnsi" w:cstheme="minorHAnsi"/>
          <w:szCs w:val="22"/>
        </w:rPr>
        <w:t xml:space="preserve"> </w:t>
      </w:r>
      <w:r w:rsidRPr="00FF3072">
        <w:rPr>
          <w:rFonts w:asciiTheme="minorHAnsi" w:hAnsiTheme="minorHAnsi" w:cstheme="minorHAnsi"/>
          <w:szCs w:val="22"/>
        </w:rPr>
        <w:t>The College library has a dedicated law section and also online legal research tools including Justice One, Westlaw, Hein Online.</w:t>
      </w:r>
    </w:p>
    <w:p w14:paraId="3650D6FE" w14:textId="77777777" w:rsidR="004F78A8" w:rsidRPr="00FF3072" w:rsidRDefault="004F78A8" w:rsidP="004F78A8">
      <w:pPr>
        <w:rPr>
          <w:rFonts w:asciiTheme="minorHAnsi" w:hAnsiTheme="minorHAnsi" w:cstheme="minorHAnsi"/>
          <w:szCs w:val="22"/>
        </w:rPr>
      </w:pPr>
    </w:p>
    <w:p w14:paraId="56549335" w14:textId="77777777" w:rsidR="004F78A8" w:rsidRPr="003A4309" w:rsidRDefault="004F78A8" w:rsidP="004F78A8">
      <w:pPr>
        <w:pStyle w:val="Heading3"/>
      </w:pPr>
      <w:r w:rsidRPr="003A4309">
        <w:t>Reading lists and other information resources</w:t>
      </w:r>
    </w:p>
    <w:p w14:paraId="05A0364B" w14:textId="77777777" w:rsidR="004F78A8" w:rsidRDefault="004F78A8" w:rsidP="004F78A8">
      <w:pPr>
        <w:rPr>
          <w:rFonts w:asciiTheme="minorHAnsi" w:hAnsiTheme="minorHAnsi" w:cstheme="minorHAnsi"/>
          <w:b/>
          <w:color w:val="000000" w:themeColor="text1"/>
          <w:szCs w:val="22"/>
        </w:rPr>
      </w:pPr>
    </w:p>
    <w:p w14:paraId="6E4F8D25" w14:textId="77777777" w:rsidR="004F78A8" w:rsidRPr="00FF3072" w:rsidRDefault="004F78A8" w:rsidP="004F78A8">
      <w:pPr>
        <w:rPr>
          <w:rFonts w:asciiTheme="minorHAnsi" w:hAnsiTheme="minorHAnsi" w:cstheme="minorHAnsi"/>
          <w:b/>
          <w:color w:val="000000" w:themeColor="text1"/>
          <w:szCs w:val="22"/>
        </w:rPr>
      </w:pPr>
      <w:r>
        <w:rPr>
          <w:rFonts w:asciiTheme="minorHAnsi" w:hAnsiTheme="minorHAnsi" w:cstheme="minorHAnsi"/>
          <w:b/>
          <w:color w:val="000000" w:themeColor="text1"/>
          <w:szCs w:val="22"/>
        </w:rPr>
        <w:t>Primary reading</w:t>
      </w:r>
    </w:p>
    <w:p w14:paraId="7CE6C397" w14:textId="77777777" w:rsidR="004F78A8" w:rsidRPr="00FF3072" w:rsidRDefault="004F78A8" w:rsidP="004F78A8">
      <w:pPr>
        <w:ind w:left="7" w:right="43"/>
        <w:rPr>
          <w:rFonts w:asciiTheme="minorHAnsi" w:hAnsiTheme="minorHAnsi" w:cstheme="minorHAnsi"/>
          <w:szCs w:val="22"/>
        </w:rPr>
      </w:pPr>
      <w:r w:rsidRPr="00FF3072">
        <w:rPr>
          <w:rFonts w:asciiTheme="minorHAnsi" w:eastAsia="Garamond" w:hAnsiTheme="minorHAnsi" w:cstheme="minorHAnsi"/>
          <w:szCs w:val="22"/>
        </w:rPr>
        <w:t>C</w:t>
      </w:r>
      <w:r w:rsidRPr="00FF3072">
        <w:rPr>
          <w:rFonts w:asciiTheme="minorHAnsi" w:hAnsiTheme="minorHAnsi" w:cstheme="minorHAnsi"/>
          <w:szCs w:val="22"/>
        </w:rPr>
        <w:t xml:space="preserve">ourtney, The Law of Companies 4th Edition (2016, Dublin; Butterworths) </w:t>
      </w:r>
    </w:p>
    <w:p w14:paraId="3BEA8180" w14:textId="77777777" w:rsidR="004F78A8" w:rsidRPr="00A07955" w:rsidRDefault="004F78A8" w:rsidP="004F78A8">
      <w:pPr>
        <w:ind w:right="43" w:firstLine="7"/>
        <w:rPr>
          <w:rFonts w:asciiTheme="minorHAnsi" w:hAnsiTheme="minorHAnsi" w:cstheme="minorHAnsi"/>
          <w:color w:val="000000" w:themeColor="text1"/>
          <w:szCs w:val="22"/>
        </w:rPr>
      </w:pPr>
      <w:r w:rsidRPr="00A07955">
        <w:rPr>
          <w:rFonts w:asciiTheme="minorHAnsi" w:hAnsiTheme="minorHAnsi" w:cstheme="minorHAnsi"/>
          <w:color w:val="000000" w:themeColor="text1"/>
          <w:szCs w:val="22"/>
        </w:rPr>
        <w:t xml:space="preserve">Keane, </w:t>
      </w:r>
      <w:r w:rsidRPr="00A07955">
        <w:rPr>
          <w:rFonts w:asciiTheme="minorHAnsi" w:hAnsiTheme="minorHAnsi" w:cstheme="minorHAnsi"/>
          <w:i/>
          <w:iCs/>
          <w:color w:val="000000" w:themeColor="text1"/>
          <w:szCs w:val="22"/>
        </w:rPr>
        <w:t>Company Law</w:t>
      </w:r>
      <w:r w:rsidRPr="00A07955">
        <w:rPr>
          <w:rFonts w:asciiTheme="minorHAnsi" w:hAnsiTheme="minorHAnsi" w:cstheme="minorHAnsi"/>
          <w:color w:val="000000" w:themeColor="text1"/>
          <w:szCs w:val="22"/>
        </w:rPr>
        <w:t xml:space="preserve"> 5th Edition (2016, Dublin; </w:t>
      </w:r>
      <w:proofErr w:type="spellStart"/>
      <w:r w:rsidRPr="00A07955">
        <w:rPr>
          <w:rFonts w:asciiTheme="minorHAnsi" w:hAnsiTheme="minorHAnsi" w:cstheme="minorHAnsi"/>
          <w:color w:val="000000" w:themeColor="text1"/>
          <w:szCs w:val="22"/>
        </w:rPr>
        <w:t>Tottel</w:t>
      </w:r>
      <w:proofErr w:type="spellEnd"/>
      <w:r w:rsidRPr="00A07955">
        <w:rPr>
          <w:rFonts w:asciiTheme="minorHAnsi" w:hAnsiTheme="minorHAnsi" w:cstheme="minorHAnsi"/>
          <w:color w:val="000000" w:themeColor="text1"/>
          <w:szCs w:val="22"/>
        </w:rPr>
        <w:t xml:space="preserve">) </w:t>
      </w:r>
    </w:p>
    <w:p w14:paraId="2E76D8E7" w14:textId="77777777" w:rsidR="004F78A8" w:rsidRPr="00FF3072" w:rsidRDefault="004F78A8" w:rsidP="004F78A8">
      <w:pPr>
        <w:ind w:left="284" w:right="520" w:hanging="284"/>
        <w:rPr>
          <w:rFonts w:asciiTheme="minorHAnsi" w:hAnsiTheme="minorHAnsi" w:cstheme="minorHAnsi"/>
          <w:color w:val="000000" w:themeColor="text1"/>
          <w:szCs w:val="22"/>
        </w:rPr>
      </w:pPr>
    </w:p>
    <w:p w14:paraId="206BE1BF" w14:textId="77777777" w:rsidR="004F78A8" w:rsidRPr="00FF3072" w:rsidRDefault="004F78A8" w:rsidP="004F78A8">
      <w:pPr>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Secondary reading</w:t>
      </w:r>
    </w:p>
    <w:p w14:paraId="65C02F55" w14:textId="77777777" w:rsidR="004F78A8" w:rsidRPr="00FF3072" w:rsidRDefault="004F78A8" w:rsidP="004F78A8">
      <w:pPr>
        <w:ind w:left="7" w:right="43"/>
        <w:rPr>
          <w:rFonts w:asciiTheme="minorHAnsi" w:hAnsiTheme="minorHAnsi" w:cstheme="minorHAnsi"/>
          <w:szCs w:val="22"/>
        </w:rPr>
      </w:pPr>
      <w:r w:rsidRPr="00FF3072">
        <w:rPr>
          <w:rFonts w:asciiTheme="minorHAnsi" w:hAnsiTheme="minorHAnsi" w:cstheme="minorHAnsi"/>
          <w:szCs w:val="22"/>
        </w:rPr>
        <w:t xml:space="preserve">Callanan, </w:t>
      </w:r>
      <w:r w:rsidRPr="00FF3072">
        <w:rPr>
          <w:rFonts w:asciiTheme="minorHAnsi" w:hAnsiTheme="minorHAnsi" w:cstheme="minorHAnsi"/>
          <w:i/>
          <w:iCs/>
          <w:szCs w:val="22"/>
        </w:rPr>
        <w:t xml:space="preserve">An Introduction to Irish Company Law </w:t>
      </w:r>
      <w:r w:rsidRPr="00FF3072">
        <w:rPr>
          <w:rFonts w:asciiTheme="minorHAnsi" w:hAnsiTheme="minorHAnsi" w:cstheme="minorHAnsi"/>
          <w:szCs w:val="22"/>
        </w:rPr>
        <w:t xml:space="preserve">4th Edition (2015, Dublin; Gill &amp; Macmillan) </w:t>
      </w:r>
    </w:p>
    <w:p w14:paraId="18E4ACA5" w14:textId="77777777" w:rsidR="004F78A8" w:rsidRPr="00FF3072" w:rsidRDefault="004F78A8" w:rsidP="004F78A8">
      <w:pPr>
        <w:ind w:left="284" w:hanging="272"/>
        <w:rPr>
          <w:rFonts w:asciiTheme="minorHAnsi" w:hAnsiTheme="minorHAnsi" w:cstheme="minorHAnsi"/>
          <w:szCs w:val="22"/>
        </w:rPr>
      </w:pPr>
      <w:r w:rsidRPr="00FF3072">
        <w:rPr>
          <w:rFonts w:asciiTheme="minorHAnsi" w:hAnsiTheme="minorHAnsi" w:cstheme="minorHAnsi"/>
          <w:szCs w:val="22"/>
        </w:rPr>
        <w:t xml:space="preserve">Courtney (ed), Bloomsbury </w:t>
      </w:r>
      <w:r w:rsidRPr="00FF3072">
        <w:rPr>
          <w:rFonts w:asciiTheme="minorHAnsi" w:hAnsiTheme="minorHAnsi" w:cstheme="minorHAnsi"/>
          <w:i/>
          <w:iCs/>
          <w:szCs w:val="22"/>
        </w:rPr>
        <w:t>Professional's Guide to the Companies Act 2014</w:t>
      </w:r>
      <w:r w:rsidRPr="00FF3072">
        <w:rPr>
          <w:rFonts w:asciiTheme="minorHAnsi" w:hAnsiTheme="minorHAnsi" w:cstheme="minorHAnsi"/>
          <w:szCs w:val="22"/>
        </w:rPr>
        <w:t xml:space="preserve"> (2015, Dublin, Bloomsbury Professional) </w:t>
      </w:r>
    </w:p>
    <w:p w14:paraId="17BFE47A" w14:textId="77777777" w:rsidR="004F78A8" w:rsidRPr="00FF3072" w:rsidRDefault="004F78A8" w:rsidP="004F78A8">
      <w:pPr>
        <w:ind w:left="7" w:right="43"/>
        <w:rPr>
          <w:rFonts w:asciiTheme="minorHAnsi" w:hAnsiTheme="minorHAnsi" w:cstheme="minorHAnsi"/>
          <w:szCs w:val="22"/>
        </w:rPr>
      </w:pPr>
      <w:r w:rsidRPr="00FF3072">
        <w:rPr>
          <w:rFonts w:asciiTheme="minorHAnsi" w:hAnsiTheme="minorHAnsi" w:cstheme="minorHAnsi"/>
          <w:szCs w:val="22"/>
        </w:rPr>
        <w:t xml:space="preserve">Forde and Kennedy, </w:t>
      </w:r>
      <w:r w:rsidRPr="00FF3072">
        <w:rPr>
          <w:rFonts w:asciiTheme="minorHAnsi" w:hAnsiTheme="minorHAnsi" w:cstheme="minorHAnsi"/>
          <w:i/>
          <w:iCs/>
          <w:szCs w:val="22"/>
        </w:rPr>
        <w:t>Company Law</w:t>
      </w:r>
      <w:r w:rsidRPr="00FF3072">
        <w:rPr>
          <w:rFonts w:asciiTheme="minorHAnsi" w:hAnsiTheme="minorHAnsi" w:cstheme="minorHAnsi"/>
          <w:szCs w:val="22"/>
        </w:rPr>
        <w:t xml:space="preserve"> 5th Edition (2017, Dublin; Round Hall)</w:t>
      </w:r>
      <w:r>
        <w:rPr>
          <w:rFonts w:asciiTheme="minorHAnsi" w:hAnsiTheme="minorHAnsi" w:cstheme="minorHAnsi"/>
          <w:szCs w:val="22"/>
        </w:rPr>
        <w:t xml:space="preserve"> </w:t>
      </w:r>
    </w:p>
    <w:p w14:paraId="37ACC814" w14:textId="77777777" w:rsidR="004F78A8" w:rsidRPr="00FF3072" w:rsidRDefault="004F78A8" w:rsidP="004F78A8">
      <w:pPr>
        <w:ind w:left="284" w:right="43" w:hanging="277"/>
        <w:rPr>
          <w:rFonts w:asciiTheme="minorHAnsi" w:hAnsiTheme="minorHAnsi" w:cstheme="minorHAnsi"/>
          <w:szCs w:val="22"/>
        </w:rPr>
      </w:pPr>
      <w:r w:rsidRPr="00FF3072">
        <w:rPr>
          <w:rFonts w:asciiTheme="minorHAnsi" w:hAnsiTheme="minorHAnsi" w:cstheme="minorHAnsi"/>
          <w:szCs w:val="22"/>
        </w:rPr>
        <w:t xml:space="preserve">McConville, </w:t>
      </w:r>
      <w:r w:rsidRPr="00FF3072">
        <w:rPr>
          <w:rFonts w:asciiTheme="minorHAnsi" w:hAnsiTheme="minorHAnsi" w:cstheme="minorHAnsi"/>
          <w:i/>
          <w:iCs/>
          <w:szCs w:val="22"/>
        </w:rPr>
        <w:t>Company Law</w:t>
      </w:r>
      <w:r w:rsidRPr="00FF3072">
        <w:rPr>
          <w:rFonts w:asciiTheme="minorHAnsi" w:hAnsiTheme="minorHAnsi" w:cstheme="minorHAnsi"/>
          <w:szCs w:val="22"/>
        </w:rPr>
        <w:t xml:space="preserve"> Nutshells </w:t>
      </w:r>
      <w:r w:rsidRPr="00A07955">
        <w:rPr>
          <w:rFonts w:asciiTheme="minorHAnsi" w:hAnsiTheme="minorHAnsi" w:cstheme="minorHAnsi"/>
          <w:i/>
          <w:szCs w:val="22"/>
        </w:rPr>
        <w:t xml:space="preserve">(This is a nutshells text and should only be used if you want to initially get to grips with an area) </w:t>
      </w:r>
    </w:p>
    <w:p w14:paraId="7A848419" w14:textId="77777777" w:rsidR="004F78A8" w:rsidRPr="00FF3072" w:rsidRDefault="004F78A8" w:rsidP="004F78A8">
      <w:pPr>
        <w:ind w:left="284" w:right="520" w:hanging="284"/>
        <w:rPr>
          <w:rFonts w:asciiTheme="minorHAnsi" w:hAnsiTheme="minorHAnsi" w:cstheme="minorHAnsi"/>
          <w:szCs w:val="22"/>
        </w:rPr>
      </w:pPr>
      <w:proofErr w:type="spellStart"/>
      <w:r w:rsidRPr="00FF3072">
        <w:rPr>
          <w:rFonts w:asciiTheme="minorHAnsi" w:hAnsiTheme="minorHAnsi" w:cstheme="minorHAnsi"/>
          <w:szCs w:val="22"/>
        </w:rPr>
        <w:t>Thullier</w:t>
      </w:r>
      <w:proofErr w:type="spellEnd"/>
      <w:r w:rsidRPr="00FF3072">
        <w:rPr>
          <w:rFonts w:asciiTheme="minorHAnsi" w:hAnsiTheme="minorHAnsi" w:cstheme="minorHAnsi"/>
          <w:szCs w:val="22"/>
        </w:rPr>
        <w:t xml:space="preserve">, </w:t>
      </w:r>
      <w:r w:rsidRPr="00FF3072">
        <w:rPr>
          <w:rFonts w:asciiTheme="minorHAnsi" w:hAnsiTheme="minorHAnsi" w:cstheme="minorHAnsi"/>
          <w:i/>
          <w:iCs/>
          <w:szCs w:val="22"/>
        </w:rPr>
        <w:t>Company Law in Ireland</w:t>
      </w:r>
      <w:r w:rsidRPr="00FF3072">
        <w:rPr>
          <w:rFonts w:asciiTheme="minorHAnsi" w:hAnsiTheme="minorHAnsi" w:cstheme="minorHAnsi"/>
          <w:szCs w:val="22"/>
        </w:rPr>
        <w:t>, Second Edition (2015, Dublin, Clarus Press)</w:t>
      </w:r>
    </w:p>
    <w:p w14:paraId="48CCB54F" w14:textId="77777777" w:rsidR="004F78A8" w:rsidRPr="00FF3072" w:rsidRDefault="004F78A8" w:rsidP="004F78A8">
      <w:pPr>
        <w:rPr>
          <w:rFonts w:asciiTheme="minorHAnsi" w:hAnsiTheme="minorHAnsi" w:cstheme="minorHAnsi"/>
          <w:color w:val="000000" w:themeColor="text1"/>
          <w:szCs w:val="22"/>
        </w:rPr>
      </w:pPr>
    </w:p>
    <w:p w14:paraId="705465D9" w14:textId="77777777" w:rsidR="004F78A8" w:rsidRPr="003A4309" w:rsidRDefault="004F78A8" w:rsidP="004F78A8">
      <w:pPr>
        <w:pStyle w:val="Heading3"/>
      </w:pPr>
      <w:r w:rsidRPr="003A4309">
        <w:t>Specifications for module staffing requirements</w:t>
      </w:r>
    </w:p>
    <w:p w14:paraId="70D420FA" w14:textId="77777777" w:rsidR="004F78A8" w:rsidRPr="00FF3072" w:rsidRDefault="004F78A8" w:rsidP="004F78A8">
      <w:pPr>
        <w:jc w:val="both"/>
        <w:rPr>
          <w:b/>
          <w:bCs/>
          <w:color w:val="000000" w:themeColor="text1"/>
        </w:rPr>
      </w:pPr>
      <w:r w:rsidRPr="00325408">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bCs/>
        </w:rPr>
        <w:t>Industry experience is beneficial but not a requirement.</w:t>
      </w:r>
    </w:p>
    <w:p w14:paraId="15020D6F" w14:textId="77777777" w:rsidR="004F78A8" w:rsidRDefault="004F78A8" w:rsidP="004F78A8">
      <w:pPr>
        <w:suppressAutoHyphens w:val="0"/>
        <w:spacing w:line="259" w:lineRule="auto"/>
      </w:pPr>
    </w:p>
    <w:p w14:paraId="0ACA237C" w14:textId="77777777" w:rsidR="004F78A8" w:rsidRPr="003A4309" w:rsidRDefault="004F78A8" w:rsidP="004F78A8">
      <w:pPr>
        <w:pStyle w:val="Heading3"/>
      </w:pPr>
      <w:r w:rsidRPr="003A4309">
        <w:t xml:space="preserve">Module summative assessment strategy </w:t>
      </w:r>
    </w:p>
    <w:p w14:paraId="07BFFC74" w14:textId="77777777" w:rsidR="004F78A8" w:rsidRDefault="004F78A8" w:rsidP="004F78A8">
      <w:pPr>
        <w:jc w:val="both"/>
        <w:rPr>
          <w:szCs w:val="22"/>
        </w:rPr>
      </w:pPr>
      <w:r>
        <w:rPr>
          <w:szCs w:val="22"/>
        </w:rPr>
        <w:t>The a</w:t>
      </w:r>
      <w:r w:rsidRPr="00330401">
        <w:rPr>
          <w:szCs w:val="22"/>
        </w:rPr>
        <w:t>ssignment in this module is a problem-based c</w:t>
      </w:r>
      <w:r>
        <w:rPr>
          <w:szCs w:val="22"/>
        </w:rPr>
        <w:t>ase study, which enables learner</w:t>
      </w:r>
      <w:r w:rsidRPr="00330401">
        <w:rPr>
          <w:szCs w:val="22"/>
        </w:rPr>
        <w:t>s to apply the theoretical underpinnings of the subject in a practical context. The exam includes a mix of problem and essay s</w:t>
      </w:r>
      <w:r>
        <w:rPr>
          <w:szCs w:val="22"/>
        </w:rPr>
        <w:t>tyle questions to assess learner</w:t>
      </w:r>
      <w:r w:rsidRPr="00330401">
        <w:rPr>
          <w:szCs w:val="22"/>
        </w:rPr>
        <w:t>s’ legal writing and research</w:t>
      </w:r>
      <w:r>
        <w:rPr>
          <w:szCs w:val="22"/>
        </w:rPr>
        <w:t xml:space="preserve"> skills in different contexts. </w:t>
      </w:r>
      <w:r w:rsidRPr="00330401">
        <w:rPr>
          <w:szCs w:val="22"/>
        </w:rPr>
        <w:t>The following table indicates the module’s learning outcomes’ alignment with the assessment used for the module:</w:t>
      </w:r>
    </w:p>
    <w:p w14:paraId="6B44AEA7" w14:textId="77777777" w:rsidR="004F78A8" w:rsidRPr="00FF3072" w:rsidRDefault="004F78A8" w:rsidP="004F78A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100"/>
        <w:gridCol w:w="1771"/>
        <w:gridCol w:w="1294"/>
      </w:tblGrid>
      <w:tr w:rsidR="004F78A8" w:rsidRPr="00FF3072" w14:paraId="3F7B1600" w14:textId="77777777" w:rsidTr="00B54421">
        <w:tc>
          <w:tcPr>
            <w:tcW w:w="469" w:type="pct"/>
            <w:shd w:val="clear" w:color="auto" w:fill="D9E2F3" w:themeFill="accent1" w:themeFillTint="33"/>
            <w:vAlign w:val="center"/>
          </w:tcPr>
          <w:p w14:paraId="44ED2591"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No.</w:t>
            </w:r>
          </w:p>
        </w:tc>
        <w:tc>
          <w:tcPr>
            <w:tcW w:w="2830" w:type="pct"/>
            <w:shd w:val="clear" w:color="auto" w:fill="D9E2F3" w:themeFill="accent1" w:themeFillTint="33"/>
            <w:vAlign w:val="center"/>
          </w:tcPr>
          <w:p w14:paraId="58C710E7"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Description</w:t>
            </w:r>
          </w:p>
        </w:tc>
        <w:tc>
          <w:tcPr>
            <w:tcW w:w="983" w:type="pct"/>
            <w:shd w:val="clear" w:color="auto" w:fill="D9E2F3" w:themeFill="accent1" w:themeFillTint="33"/>
            <w:vAlign w:val="center"/>
          </w:tcPr>
          <w:p w14:paraId="67E056F7"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MIMLOs</w:t>
            </w:r>
          </w:p>
        </w:tc>
        <w:tc>
          <w:tcPr>
            <w:tcW w:w="718" w:type="pct"/>
            <w:shd w:val="clear" w:color="auto" w:fill="D9E2F3" w:themeFill="accent1" w:themeFillTint="33"/>
            <w:vAlign w:val="center"/>
          </w:tcPr>
          <w:p w14:paraId="247534E6"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Weighting</w:t>
            </w:r>
          </w:p>
        </w:tc>
      </w:tr>
      <w:tr w:rsidR="004F78A8" w:rsidRPr="00FF3072" w14:paraId="6A78C15C" w14:textId="77777777" w:rsidTr="00B54421">
        <w:tc>
          <w:tcPr>
            <w:tcW w:w="469" w:type="pct"/>
            <w:vAlign w:val="center"/>
          </w:tcPr>
          <w:p w14:paraId="7007CB8C"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1</w:t>
            </w:r>
          </w:p>
        </w:tc>
        <w:tc>
          <w:tcPr>
            <w:tcW w:w="2830" w:type="pct"/>
            <w:vAlign w:val="center"/>
          </w:tcPr>
          <w:p w14:paraId="7618B9FC"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Pr>
                <w:rFonts w:asciiTheme="minorHAnsi" w:hAnsiTheme="minorHAnsi" w:cstheme="minorHAnsi"/>
                <w:b w:val="0"/>
                <w:bCs w:val="0"/>
                <w:sz w:val="22"/>
                <w:szCs w:val="22"/>
                <w:lang w:eastAsia="ar-SA"/>
              </w:rPr>
              <w:t>Case Study</w:t>
            </w:r>
          </w:p>
        </w:tc>
        <w:tc>
          <w:tcPr>
            <w:tcW w:w="983" w:type="pct"/>
            <w:vAlign w:val="center"/>
          </w:tcPr>
          <w:p w14:paraId="2DA3E9C4" w14:textId="77777777" w:rsidR="004F78A8" w:rsidRPr="00FF3072" w:rsidRDefault="004F78A8" w:rsidP="00B54421">
            <w:pPr>
              <w:pStyle w:val="Heading3"/>
              <w:numPr>
                <w:ilvl w:val="0"/>
                <w:numId w:val="0"/>
              </w:numPr>
              <w:jc w:val="cente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w:t>
            </w:r>
            <w:proofErr w:type="spellStart"/>
            <w:r w:rsidRPr="00FF3072">
              <w:rPr>
                <w:rFonts w:asciiTheme="minorHAnsi" w:hAnsiTheme="minorHAnsi" w:cstheme="minorHAnsi"/>
                <w:b w:val="0"/>
                <w:bCs w:val="0"/>
                <w:sz w:val="22"/>
                <w:szCs w:val="22"/>
                <w:lang w:eastAsia="ar-SA"/>
              </w:rPr>
              <w:t>i</w:t>
            </w:r>
            <w:proofErr w:type="spellEnd"/>
            <w:r w:rsidRPr="00FF3072">
              <w:rPr>
                <w:rFonts w:asciiTheme="minorHAnsi" w:hAnsiTheme="minorHAnsi" w:cstheme="minorHAnsi"/>
                <w:b w:val="0"/>
                <w:bCs w:val="0"/>
                <w:sz w:val="22"/>
                <w:szCs w:val="22"/>
                <w:lang w:eastAsia="ar-SA"/>
              </w:rPr>
              <w:t>) (ii) (iii)</w:t>
            </w:r>
          </w:p>
        </w:tc>
        <w:tc>
          <w:tcPr>
            <w:tcW w:w="718" w:type="pct"/>
            <w:vAlign w:val="center"/>
          </w:tcPr>
          <w:p w14:paraId="044BC95E"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40%</w:t>
            </w:r>
          </w:p>
        </w:tc>
      </w:tr>
      <w:tr w:rsidR="004F78A8" w:rsidRPr="00FF3072" w14:paraId="28FC7CB1" w14:textId="77777777" w:rsidTr="00B54421">
        <w:tc>
          <w:tcPr>
            <w:tcW w:w="469" w:type="pct"/>
            <w:vAlign w:val="center"/>
          </w:tcPr>
          <w:p w14:paraId="359ED8B0"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2</w:t>
            </w:r>
          </w:p>
        </w:tc>
        <w:tc>
          <w:tcPr>
            <w:tcW w:w="2830" w:type="pct"/>
            <w:vAlign w:val="center"/>
          </w:tcPr>
          <w:p w14:paraId="29EBB1DA"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Examination</w:t>
            </w:r>
          </w:p>
        </w:tc>
        <w:tc>
          <w:tcPr>
            <w:tcW w:w="983" w:type="pct"/>
            <w:vAlign w:val="center"/>
          </w:tcPr>
          <w:p w14:paraId="5212D0D6" w14:textId="77777777" w:rsidR="004F78A8" w:rsidRPr="00FF3072" w:rsidRDefault="004F78A8" w:rsidP="00B54421">
            <w:pPr>
              <w:pStyle w:val="Heading3"/>
              <w:numPr>
                <w:ilvl w:val="0"/>
                <w:numId w:val="0"/>
              </w:numPr>
              <w:jc w:val="cente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w:t>
            </w:r>
            <w:proofErr w:type="spellStart"/>
            <w:r w:rsidRPr="00FF3072">
              <w:rPr>
                <w:rFonts w:asciiTheme="minorHAnsi" w:hAnsiTheme="minorHAnsi" w:cstheme="minorHAnsi"/>
                <w:b w:val="0"/>
                <w:bCs w:val="0"/>
                <w:sz w:val="22"/>
                <w:szCs w:val="22"/>
                <w:lang w:eastAsia="ar-SA"/>
              </w:rPr>
              <w:t>i</w:t>
            </w:r>
            <w:proofErr w:type="spellEnd"/>
            <w:r w:rsidRPr="00FF3072">
              <w:rPr>
                <w:rFonts w:asciiTheme="minorHAnsi" w:hAnsiTheme="minorHAnsi" w:cstheme="minorHAnsi"/>
                <w:b w:val="0"/>
                <w:bCs w:val="0"/>
                <w:sz w:val="22"/>
                <w:szCs w:val="22"/>
                <w:lang w:eastAsia="ar-SA"/>
              </w:rPr>
              <w:t>)(ii)(iii)(iv)(v)</w:t>
            </w:r>
          </w:p>
        </w:tc>
        <w:tc>
          <w:tcPr>
            <w:tcW w:w="718" w:type="pct"/>
            <w:vAlign w:val="center"/>
          </w:tcPr>
          <w:p w14:paraId="36E27703" w14:textId="77777777" w:rsidR="004F78A8" w:rsidRPr="00FF3072" w:rsidRDefault="004F78A8" w:rsidP="00B54421">
            <w:pPr>
              <w:pStyle w:val="Heading3"/>
              <w:numPr>
                <w:ilvl w:val="0"/>
                <w:numId w:val="0"/>
              </w:numPr>
              <w:rPr>
                <w:rFonts w:asciiTheme="minorHAnsi" w:hAnsiTheme="minorHAnsi" w:cstheme="minorHAnsi"/>
                <w:b w:val="0"/>
                <w:bCs w:val="0"/>
                <w:sz w:val="22"/>
                <w:szCs w:val="22"/>
                <w:lang w:eastAsia="ar-SA"/>
              </w:rPr>
            </w:pPr>
            <w:r w:rsidRPr="00FF3072">
              <w:rPr>
                <w:rFonts w:asciiTheme="minorHAnsi" w:hAnsiTheme="minorHAnsi" w:cstheme="minorHAnsi"/>
                <w:b w:val="0"/>
                <w:bCs w:val="0"/>
                <w:sz w:val="22"/>
                <w:szCs w:val="22"/>
                <w:lang w:eastAsia="ar-SA"/>
              </w:rPr>
              <w:t>60%</w:t>
            </w:r>
          </w:p>
        </w:tc>
      </w:tr>
    </w:tbl>
    <w:p w14:paraId="79485A87" w14:textId="77777777" w:rsidR="004F78A8" w:rsidRPr="00FF3072" w:rsidRDefault="004F78A8" w:rsidP="004F78A8"/>
    <w:p w14:paraId="67C5F124" w14:textId="77777777" w:rsidR="004F78A8" w:rsidRDefault="004F78A8" w:rsidP="004F78A8">
      <w:pPr>
        <w:jc w:val="both"/>
        <w:rPr>
          <w:rFonts w:asciiTheme="minorHAnsi" w:hAnsiTheme="minorHAnsi" w:cstheme="minorHAnsi"/>
          <w:szCs w:val="22"/>
        </w:rPr>
      </w:pPr>
      <w:r w:rsidRPr="00FF3072">
        <w:rPr>
          <w:rFonts w:asciiTheme="minorHAnsi" w:hAnsiTheme="minorHAnsi" w:cstheme="minorHAnsi"/>
          <w:b/>
          <w:bCs/>
          <w:szCs w:val="22"/>
        </w:rPr>
        <w:t>Reassessment/Repeat assessment strategy</w:t>
      </w:r>
      <w:r w:rsidRPr="00FF3072">
        <w:rPr>
          <w:rFonts w:asciiTheme="minorHAnsi" w:hAnsiTheme="minorHAnsi" w:cstheme="minorHAnsi"/>
          <w:szCs w:val="22"/>
        </w:rPr>
        <w:t xml:space="preserve">: Griffith College regulations state that learners must pass all component elements of the module to be deemed to have passed the module. </w:t>
      </w:r>
    </w:p>
    <w:p w14:paraId="2FC0D4E9" w14:textId="77777777" w:rsidR="004F78A8" w:rsidRPr="00FF3072" w:rsidRDefault="004F78A8" w:rsidP="004F78A8">
      <w:pPr>
        <w:jc w:val="both"/>
        <w:rPr>
          <w:rFonts w:asciiTheme="minorHAnsi" w:hAnsiTheme="minorHAnsi" w:cstheme="minorHAnsi"/>
          <w:szCs w:val="22"/>
        </w:rPr>
      </w:pPr>
    </w:p>
    <w:p w14:paraId="13B4B887" w14:textId="77777777" w:rsidR="004F78A8" w:rsidRPr="00FF3072" w:rsidRDefault="004F78A8" w:rsidP="004F78A8">
      <w:pPr>
        <w:pStyle w:val="ListParagraph"/>
        <w:numPr>
          <w:ilvl w:val="0"/>
          <w:numId w:val="1"/>
        </w:numPr>
        <w:ind w:right="521"/>
        <w:rPr>
          <w:rFonts w:asciiTheme="minorHAnsi" w:hAnsiTheme="minorHAnsi" w:cstheme="minorHAnsi"/>
          <w:szCs w:val="22"/>
        </w:rPr>
      </w:pPr>
      <w:r w:rsidRPr="00FF3072">
        <w:rPr>
          <w:rFonts w:asciiTheme="minorHAnsi" w:hAnsiTheme="minorHAnsi" w:cstheme="minorHAnsi"/>
          <w:szCs w:val="22"/>
        </w:rPr>
        <w:t>In the event of a learner failing components of / this module, they will be required to submit a new individual repeat assignment which will be made available on Moodle to learners, and which must be submitted as per faculty instructions.</w:t>
      </w:r>
    </w:p>
    <w:p w14:paraId="1717CA45" w14:textId="77777777" w:rsidR="004F78A8" w:rsidRPr="00FF3072" w:rsidRDefault="004F78A8" w:rsidP="004F78A8">
      <w:pPr>
        <w:pStyle w:val="ListParagraph"/>
        <w:numPr>
          <w:ilvl w:val="0"/>
          <w:numId w:val="1"/>
        </w:numPr>
        <w:ind w:right="521"/>
        <w:rPr>
          <w:rFonts w:asciiTheme="minorHAnsi" w:hAnsiTheme="minorHAnsi" w:cstheme="minorHAnsi"/>
          <w:szCs w:val="22"/>
        </w:rPr>
      </w:pPr>
      <w:r w:rsidRPr="00FF3072">
        <w:rPr>
          <w:rFonts w:asciiTheme="minorHAnsi" w:hAnsiTheme="minorHAnsi" w:cstheme="minorHAnsi"/>
          <w:szCs w:val="22"/>
        </w:rPr>
        <w:t>In the event of a learner failing the group assessment element of this module, a new individual repeat assignment will be made available on Moodle to learners which must be submitted as per faculty instructions.</w:t>
      </w:r>
    </w:p>
    <w:p w14:paraId="06B76787" w14:textId="77777777" w:rsidR="004F78A8" w:rsidRPr="00FF3072" w:rsidRDefault="004F78A8" w:rsidP="004F78A8">
      <w:pPr>
        <w:pStyle w:val="ListParagraph"/>
        <w:numPr>
          <w:ilvl w:val="0"/>
          <w:numId w:val="1"/>
        </w:numPr>
        <w:ind w:right="521"/>
        <w:rPr>
          <w:rFonts w:asciiTheme="minorHAnsi" w:hAnsiTheme="minorHAnsi" w:cstheme="minorHAnsi"/>
          <w:szCs w:val="22"/>
        </w:rPr>
      </w:pPr>
      <w:r w:rsidRPr="00FF3072">
        <w:rPr>
          <w:rFonts w:asciiTheme="minorHAnsi" w:hAnsiTheme="minorHAnsi" w:cstheme="minorHAnsi"/>
          <w:szCs w:val="22"/>
        </w:rPr>
        <w:lastRenderedPageBreak/>
        <w:t xml:space="preserve">In the event of the learner failing the exam, learners will take the re-sit exam at the next available sitting, details of which will be made available to learners via Moodle. </w:t>
      </w:r>
    </w:p>
    <w:p w14:paraId="450B4AD5" w14:textId="77777777" w:rsidR="004F78A8" w:rsidRPr="00FF3072" w:rsidRDefault="004F78A8" w:rsidP="004F78A8">
      <w:pPr>
        <w:rPr>
          <w:rFonts w:asciiTheme="minorHAnsi" w:hAnsiTheme="minorHAnsi" w:cstheme="minorHAnsi"/>
          <w:color w:val="808080" w:themeColor="background1" w:themeShade="80"/>
          <w:szCs w:val="22"/>
        </w:rPr>
      </w:pPr>
    </w:p>
    <w:p w14:paraId="5D42AE56" w14:textId="77777777" w:rsidR="004F78A8" w:rsidRPr="00945B80" w:rsidRDefault="004F78A8" w:rsidP="004F78A8">
      <w:pPr>
        <w:pStyle w:val="Heading3"/>
        <w:rPr>
          <w:color w:val="000000" w:themeColor="text1"/>
        </w:rPr>
      </w:pPr>
      <w:r w:rsidRPr="00945B80">
        <w:rPr>
          <w:color w:val="000000" w:themeColor="text1"/>
        </w:rPr>
        <w:t>Sample assessment materials</w:t>
      </w:r>
    </w:p>
    <w:p w14:paraId="6226F4BA" w14:textId="77777777" w:rsidR="004F78A8" w:rsidRPr="00945B80" w:rsidRDefault="004F78A8" w:rsidP="004F78A8">
      <w:pPr>
        <w:rPr>
          <w:color w:val="000000" w:themeColor="text1"/>
          <w:szCs w:val="22"/>
        </w:rPr>
      </w:pPr>
      <w:r w:rsidRPr="00945B80">
        <w:rPr>
          <w:color w:val="000000" w:themeColor="text1"/>
          <w:szCs w:val="22"/>
        </w:rPr>
        <w:t>Please see sample assessment supplementary document.</w:t>
      </w:r>
    </w:p>
    <w:p w14:paraId="0B877B76" w14:textId="77777777" w:rsidR="004F78A8" w:rsidRPr="00FF3072" w:rsidRDefault="004F78A8" w:rsidP="004F78A8">
      <w:pPr>
        <w:rPr>
          <w:rFonts w:asciiTheme="minorHAnsi" w:hAnsiTheme="minorHAnsi" w:cstheme="minorHAnsi"/>
          <w:bCs/>
          <w:szCs w:val="22"/>
        </w:rPr>
      </w:pPr>
    </w:p>
    <w:p w14:paraId="679802F4" w14:textId="77777777" w:rsidR="004F78A8" w:rsidRPr="00FF3072" w:rsidRDefault="004F78A8" w:rsidP="004F78A8">
      <w:pPr>
        <w:suppressAutoHyphens w:val="0"/>
        <w:rPr>
          <w:rFonts w:asciiTheme="minorHAnsi" w:hAnsiTheme="minorHAnsi" w:cstheme="minorHAnsi"/>
          <w:szCs w:val="22"/>
        </w:rPr>
      </w:pPr>
      <w:r w:rsidRPr="00FF3072">
        <w:rPr>
          <w:rFonts w:asciiTheme="minorHAnsi" w:hAnsiTheme="minorHAnsi" w:cstheme="minorHAnsi"/>
          <w:szCs w:val="22"/>
        </w:rPr>
        <w:br w:type="page"/>
      </w:r>
    </w:p>
    <w:p w14:paraId="073F4BCE" w14:textId="77777777" w:rsidR="007F1D8E" w:rsidRDefault="007F1D8E"/>
    <w:sectPr w:rsidR="007F1D8E" w:rsidSect="00DE1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FD8"/>
    <w:multiLevelType w:val="hybridMultilevel"/>
    <w:tmpl w:val="114618CA"/>
    <w:lvl w:ilvl="0" w:tplc="2766DE5A">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304C06"/>
    <w:multiLevelType w:val="hybridMultilevel"/>
    <w:tmpl w:val="A632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485AB2"/>
    <w:multiLevelType w:val="multilevel"/>
    <w:tmpl w:val="7E062C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A8"/>
    <w:rsid w:val="004F78A8"/>
    <w:rsid w:val="007F1D8E"/>
    <w:rsid w:val="00DE1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FF4CF64"/>
  <w15:chartTrackingRefBased/>
  <w15:docId w15:val="{9132BA3E-9310-4046-829E-B6187582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A8"/>
    <w:pPr>
      <w:suppressAutoHyphens/>
    </w:pPr>
    <w:rPr>
      <w:rFonts w:ascii="Calibri" w:eastAsia="Times New Roman" w:hAnsi="Calibri" w:cs="Times New Roman"/>
      <w:sz w:val="22"/>
      <w:lang w:eastAsia="ar-SA"/>
    </w:rPr>
  </w:style>
  <w:style w:type="paragraph" w:styleId="Heading1">
    <w:name w:val="heading 1"/>
    <w:basedOn w:val="Normal"/>
    <w:next w:val="Normal"/>
    <w:link w:val="Heading1Char"/>
    <w:uiPriority w:val="9"/>
    <w:qFormat/>
    <w:rsid w:val="004F78A8"/>
    <w:pPr>
      <w:keepNext/>
      <w:keepLines/>
      <w:numPr>
        <w:numId w:val="2"/>
      </w:numPr>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nhideWhenUsed/>
    <w:qFormat/>
    <w:rsid w:val="004F78A8"/>
    <w:pPr>
      <w:keepNext/>
      <w:numPr>
        <w:ilvl w:val="1"/>
        <w:numId w:val="2"/>
      </w:numPr>
      <w:outlineLvl w:val="1"/>
    </w:pPr>
    <w:rPr>
      <w:rFonts w:cs="Arial"/>
      <w:b/>
      <w:bCs/>
      <w:iCs/>
      <w:sz w:val="26"/>
      <w:szCs w:val="28"/>
    </w:rPr>
  </w:style>
  <w:style w:type="paragraph" w:styleId="Heading3">
    <w:name w:val="heading 3"/>
    <w:basedOn w:val="Normal"/>
    <w:next w:val="Normal"/>
    <w:link w:val="Heading3Char"/>
    <w:unhideWhenUsed/>
    <w:qFormat/>
    <w:rsid w:val="004F78A8"/>
    <w:pPr>
      <w:keepNext/>
      <w:numPr>
        <w:ilvl w:val="2"/>
        <w:numId w:val="2"/>
      </w:numPr>
      <w:outlineLvl w:val="2"/>
    </w:pPr>
    <w:rPr>
      <w:rFonts w:cs="Arial"/>
      <w:b/>
      <w:bCs/>
      <w:sz w:val="24"/>
      <w:szCs w:val="26"/>
      <w:lang w:eastAsia="en-US"/>
    </w:rPr>
  </w:style>
  <w:style w:type="paragraph" w:styleId="Heading4">
    <w:name w:val="heading 4"/>
    <w:basedOn w:val="Normal"/>
    <w:next w:val="Normal"/>
    <w:link w:val="Heading4Char"/>
    <w:uiPriority w:val="9"/>
    <w:semiHidden/>
    <w:unhideWhenUsed/>
    <w:qFormat/>
    <w:rsid w:val="004F78A8"/>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78A8"/>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78A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F78A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F78A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8A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8A8"/>
    <w:rPr>
      <w:rFonts w:eastAsiaTheme="majorEastAsia" w:cstheme="majorBidi"/>
      <w:b/>
      <w:sz w:val="28"/>
      <w:szCs w:val="32"/>
      <w:lang w:eastAsia="ar-SA"/>
    </w:rPr>
  </w:style>
  <w:style w:type="character" w:customStyle="1" w:styleId="Heading2Char">
    <w:name w:val="Heading 2 Char"/>
    <w:basedOn w:val="DefaultParagraphFont"/>
    <w:link w:val="Heading2"/>
    <w:rsid w:val="004F78A8"/>
    <w:rPr>
      <w:rFonts w:ascii="Calibri" w:eastAsia="Times New Roman" w:hAnsi="Calibri" w:cs="Arial"/>
      <w:b/>
      <w:bCs/>
      <w:iCs/>
      <w:sz w:val="26"/>
      <w:szCs w:val="28"/>
      <w:lang w:eastAsia="ar-SA"/>
    </w:rPr>
  </w:style>
  <w:style w:type="character" w:customStyle="1" w:styleId="Heading3Char">
    <w:name w:val="Heading 3 Char"/>
    <w:basedOn w:val="DefaultParagraphFont"/>
    <w:link w:val="Heading3"/>
    <w:rsid w:val="004F78A8"/>
    <w:rPr>
      <w:rFonts w:ascii="Calibri" w:eastAsia="Times New Roman" w:hAnsi="Calibri" w:cs="Arial"/>
      <w:b/>
      <w:bCs/>
      <w:szCs w:val="26"/>
    </w:rPr>
  </w:style>
  <w:style w:type="character" w:customStyle="1" w:styleId="Heading4Char">
    <w:name w:val="Heading 4 Char"/>
    <w:basedOn w:val="DefaultParagraphFont"/>
    <w:link w:val="Heading4"/>
    <w:uiPriority w:val="9"/>
    <w:semiHidden/>
    <w:rsid w:val="004F78A8"/>
    <w:rPr>
      <w:rFonts w:asciiTheme="majorHAnsi" w:eastAsiaTheme="majorEastAsia" w:hAnsiTheme="majorHAnsi" w:cstheme="majorBidi"/>
      <w:i/>
      <w:iCs/>
      <w:color w:val="2F5496" w:themeColor="accent1" w:themeShade="BF"/>
      <w:sz w:val="22"/>
      <w:lang w:eastAsia="ar-SA"/>
    </w:rPr>
  </w:style>
  <w:style w:type="character" w:customStyle="1" w:styleId="Heading5Char">
    <w:name w:val="Heading 5 Char"/>
    <w:basedOn w:val="DefaultParagraphFont"/>
    <w:link w:val="Heading5"/>
    <w:uiPriority w:val="9"/>
    <w:semiHidden/>
    <w:rsid w:val="004F78A8"/>
    <w:rPr>
      <w:rFonts w:asciiTheme="majorHAnsi" w:eastAsiaTheme="majorEastAsia" w:hAnsiTheme="majorHAnsi" w:cstheme="majorBidi"/>
      <w:color w:val="2F5496" w:themeColor="accent1" w:themeShade="BF"/>
      <w:sz w:val="22"/>
      <w:lang w:eastAsia="ar-SA"/>
    </w:rPr>
  </w:style>
  <w:style w:type="character" w:customStyle="1" w:styleId="Heading6Char">
    <w:name w:val="Heading 6 Char"/>
    <w:basedOn w:val="DefaultParagraphFont"/>
    <w:link w:val="Heading6"/>
    <w:uiPriority w:val="9"/>
    <w:semiHidden/>
    <w:rsid w:val="004F78A8"/>
    <w:rPr>
      <w:rFonts w:asciiTheme="majorHAnsi" w:eastAsiaTheme="majorEastAsia" w:hAnsiTheme="majorHAnsi" w:cstheme="majorBidi"/>
      <w:color w:val="1F3763" w:themeColor="accent1" w:themeShade="7F"/>
      <w:sz w:val="22"/>
      <w:lang w:eastAsia="ar-SA"/>
    </w:rPr>
  </w:style>
  <w:style w:type="character" w:customStyle="1" w:styleId="Heading7Char">
    <w:name w:val="Heading 7 Char"/>
    <w:basedOn w:val="DefaultParagraphFont"/>
    <w:link w:val="Heading7"/>
    <w:uiPriority w:val="9"/>
    <w:semiHidden/>
    <w:rsid w:val="004F78A8"/>
    <w:rPr>
      <w:rFonts w:asciiTheme="majorHAnsi" w:eastAsiaTheme="majorEastAsia" w:hAnsiTheme="majorHAnsi" w:cstheme="majorBidi"/>
      <w:i/>
      <w:iCs/>
      <w:color w:val="1F3763" w:themeColor="accent1" w:themeShade="7F"/>
      <w:sz w:val="22"/>
      <w:lang w:eastAsia="ar-SA"/>
    </w:rPr>
  </w:style>
  <w:style w:type="character" w:customStyle="1" w:styleId="Heading8Char">
    <w:name w:val="Heading 8 Char"/>
    <w:basedOn w:val="DefaultParagraphFont"/>
    <w:link w:val="Heading8"/>
    <w:uiPriority w:val="9"/>
    <w:semiHidden/>
    <w:rsid w:val="004F78A8"/>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4F78A8"/>
    <w:rPr>
      <w:rFonts w:asciiTheme="majorHAnsi" w:eastAsiaTheme="majorEastAsia" w:hAnsiTheme="majorHAnsi" w:cstheme="majorBidi"/>
      <w:i/>
      <w:iCs/>
      <w:color w:val="272727" w:themeColor="text1" w:themeTint="D8"/>
      <w:sz w:val="21"/>
      <w:szCs w:val="21"/>
      <w:lang w:eastAsia="ar-SA"/>
    </w:rPr>
  </w:style>
  <w:style w:type="table" w:styleId="TableGrid">
    <w:name w:val="Table Grid"/>
    <w:basedOn w:val="TableNormal"/>
    <w:uiPriority w:val="39"/>
    <w:qFormat/>
    <w:rsid w:val="004F78A8"/>
    <w:pPr>
      <w:suppressAutoHyphens/>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78A8"/>
    <w:pPr>
      <w:ind w:left="720"/>
      <w:contextualSpacing/>
    </w:pPr>
  </w:style>
  <w:style w:type="character" w:customStyle="1" w:styleId="ListParagraphChar">
    <w:name w:val="List Paragraph Char"/>
    <w:basedOn w:val="DefaultParagraphFont"/>
    <w:link w:val="ListParagraph"/>
    <w:uiPriority w:val="34"/>
    <w:qFormat/>
    <w:rsid w:val="004F78A8"/>
    <w:rPr>
      <w:rFonts w:ascii="Calibri" w:eastAsia="Times New Roman" w:hAnsi="Calibri" w:cs="Times New Roman"/>
      <w:sz w:val="22"/>
      <w:lang w:eastAsia="ar-SA"/>
    </w:rPr>
  </w:style>
  <w:style w:type="table" w:customStyle="1" w:styleId="TableGrid0">
    <w:name w:val="TableGrid"/>
    <w:rsid w:val="004F78A8"/>
    <w:rPr>
      <w:rFonts w:eastAsiaTheme="minorEastAsia"/>
      <w:sz w:val="22"/>
      <w:szCs w:val="22"/>
      <w:lang w:eastAsia="en-IE"/>
    </w:rPr>
    <w:tblPr>
      <w:tblCellMar>
        <w:top w:w="0" w:type="dxa"/>
        <w:left w:w="0" w:type="dxa"/>
        <w:bottom w:w="0" w:type="dxa"/>
        <w:right w:w="0" w:type="dxa"/>
      </w:tblCellMar>
    </w:tblPr>
  </w:style>
  <w:style w:type="paragraph" w:styleId="NormalWeb">
    <w:name w:val="Normal (Web)"/>
    <w:basedOn w:val="Normal"/>
    <w:uiPriority w:val="99"/>
    <w:unhideWhenUsed/>
    <w:rsid w:val="004F78A8"/>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Roberts</dc:creator>
  <cp:keywords/>
  <dc:description/>
  <cp:lastModifiedBy>Roisin Roberts</cp:lastModifiedBy>
  <cp:revision>1</cp:revision>
  <dcterms:created xsi:type="dcterms:W3CDTF">2021-08-06T15:21:00Z</dcterms:created>
  <dcterms:modified xsi:type="dcterms:W3CDTF">2021-08-06T15:21:00Z</dcterms:modified>
</cp:coreProperties>
</file>