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35059" w14:textId="77777777" w:rsidR="00F71554" w:rsidRDefault="00F71554" w:rsidP="00F71554">
      <w:pPr>
        <w:pStyle w:val="Heading2"/>
      </w:pPr>
      <w:bookmarkStart w:id="0" w:name="_Toc70076528"/>
      <w:r>
        <w:t>Module 4</w:t>
      </w:r>
      <w:r w:rsidRPr="00FF3072">
        <w:t>: Law of Torts</w:t>
      </w:r>
      <w:bookmarkEnd w:id="0"/>
    </w:p>
    <w:p w14:paraId="09BE2760" w14:textId="77777777" w:rsidR="00F71554" w:rsidRPr="00B37334" w:rsidRDefault="00F71554" w:rsidP="00F71554"/>
    <w:tbl>
      <w:tblPr>
        <w:tblStyle w:val="TableGrid"/>
        <w:tblW w:w="5000" w:type="pct"/>
        <w:tblInd w:w="0" w:type="dxa"/>
        <w:tblLook w:val="04A0" w:firstRow="1" w:lastRow="0" w:firstColumn="1" w:lastColumn="0" w:noHBand="0" w:noVBand="1"/>
      </w:tblPr>
      <w:tblGrid>
        <w:gridCol w:w="2231"/>
        <w:gridCol w:w="755"/>
        <w:gridCol w:w="953"/>
        <w:gridCol w:w="1973"/>
        <w:gridCol w:w="1197"/>
        <w:gridCol w:w="353"/>
        <w:gridCol w:w="1548"/>
      </w:tblGrid>
      <w:tr w:rsidR="00F71554" w:rsidRPr="007A79A2" w14:paraId="195E819D" w14:textId="77777777" w:rsidTr="00B54421">
        <w:tc>
          <w:tcPr>
            <w:tcW w:w="5000" w:type="pct"/>
            <w:gridSpan w:val="7"/>
            <w:shd w:val="clear" w:color="auto" w:fill="D9E2F3" w:themeFill="accent1" w:themeFillTint="33"/>
            <w:vAlign w:val="center"/>
          </w:tcPr>
          <w:p w14:paraId="5EF93476" w14:textId="77777777" w:rsidR="00F71554" w:rsidRPr="007A79A2" w:rsidRDefault="00F71554" w:rsidP="00B54421">
            <w:pPr>
              <w:rPr>
                <w:rFonts w:asciiTheme="minorHAnsi" w:hAnsiTheme="minorHAnsi" w:cstheme="minorHAnsi"/>
                <w:b/>
              </w:rPr>
            </w:pPr>
            <w:r w:rsidRPr="007A79A2">
              <w:rPr>
                <w:rFonts w:asciiTheme="minorHAnsi" w:hAnsiTheme="minorHAnsi" w:cstheme="minorHAnsi"/>
                <w:b/>
              </w:rPr>
              <w:t xml:space="preserve">Module title </w:t>
            </w:r>
          </w:p>
        </w:tc>
      </w:tr>
      <w:tr w:rsidR="00F71554" w:rsidRPr="007A79A2" w14:paraId="4A01EF7B" w14:textId="77777777" w:rsidTr="00B54421">
        <w:tc>
          <w:tcPr>
            <w:tcW w:w="5000" w:type="pct"/>
            <w:gridSpan w:val="7"/>
            <w:tcBorders>
              <w:bottom w:val="single" w:sz="4" w:space="0" w:color="auto"/>
            </w:tcBorders>
            <w:vAlign w:val="center"/>
          </w:tcPr>
          <w:p w14:paraId="599F2958" w14:textId="77777777" w:rsidR="00F71554" w:rsidRPr="007A79A2" w:rsidRDefault="00F71554" w:rsidP="00B54421">
            <w:pPr>
              <w:rPr>
                <w:rFonts w:asciiTheme="minorHAnsi" w:hAnsiTheme="minorHAnsi" w:cstheme="minorHAnsi"/>
              </w:rPr>
            </w:pPr>
            <w:r w:rsidRPr="007A79A2">
              <w:rPr>
                <w:rFonts w:asciiTheme="minorHAnsi" w:hAnsiTheme="minorHAnsi" w:cstheme="minorHAnsi"/>
              </w:rPr>
              <w:t>Law of Torts</w:t>
            </w:r>
          </w:p>
        </w:tc>
      </w:tr>
      <w:tr w:rsidR="00F71554" w:rsidRPr="007A79A2" w14:paraId="37D348BF" w14:textId="77777777" w:rsidTr="00B54421">
        <w:tc>
          <w:tcPr>
            <w:tcW w:w="1657" w:type="pct"/>
            <w:gridSpan w:val="2"/>
            <w:shd w:val="clear" w:color="auto" w:fill="D9E2F3" w:themeFill="accent1" w:themeFillTint="33"/>
            <w:vAlign w:val="center"/>
          </w:tcPr>
          <w:p w14:paraId="474D2BB5" w14:textId="77777777" w:rsidR="00F71554" w:rsidRPr="007A79A2" w:rsidRDefault="00F71554" w:rsidP="00B54421">
            <w:pPr>
              <w:rPr>
                <w:rFonts w:asciiTheme="minorHAnsi" w:hAnsiTheme="minorHAnsi" w:cstheme="minorHAnsi"/>
                <w:b/>
              </w:rPr>
            </w:pPr>
            <w:r w:rsidRPr="007A79A2">
              <w:rPr>
                <w:rFonts w:asciiTheme="minorHAnsi" w:hAnsiTheme="minorHAnsi" w:cstheme="minorHAnsi"/>
                <w:b/>
              </w:rPr>
              <w:t xml:space="preserve">Module NFQ level </w:t>
            </w:r>
            <w:r w:rsidRPr="007A79A2">
              <w:rPr>
                <w:rFonts w:asciiTheme="minorHAnsi" w:hAnsiTheme="minorHAnsi" w:cstheme="minorHAnsi"/>
                <w:bCs/>
              </w:rPr>
              <w:t>(only if an NFQ level can be demonstrated)</w:t>
            </w:r>
          </w:p>
        </w:tc>
        <w:tc>
          <w:tcPr>
            <w:tcW w:w="1623" w:type="pct"/>
            <w:gridSpan w:val="2"/>
            <w:shd w:val="clear" w:color="auto" w:fill="D9E2F3" w:themeFill="accent1" w:themeFillTint="33"/>
            <w:vAlign w:val="center"/>
          </w:tcPr>
          <w:p w14:paraId="7692996A" w14:textId="77777777" w:rsidR="00F71554" w:rsidRPr="007A79A2" w:rsidRDefault="00F71554" w:rsidP="00B54421">
            <w:pPr>
              <w:rPr>
                <w:rFonts w:asciiTheme="minorHAnsi" w:hAnsiTheme="minorHAnsi" w:cstheme="minorHAnsi"/>
                <w:b/>
              </w:rPr>
            </w:pPr>
            <w:r w:rsidRPr="007A79A2">
              <w:rPr>
                <w:rFonts w:asciiTheme="minorHAnsi" w:hAnsiTheme="minorHAnsi" w:cstheme="minorHAnsi"/>
                <w:b/>
              </w:rPr>
              <w:t>Module number / reference</w:t>
            </w:r>
          </w:p>
        </w:tc>
        <w:tc>
          <w:tcPr>
            <w:tcW w:w="860" w:type="pct"/>
            <w:gridSpan w:val="2"/>
            <w:shd w:val="clear" w:color="auto" w:fill="D9E2F3" w:themeFill="accent1" w:themeFillTint="33"/>
            <w:vAlign w:val="center"/>
          </w:tcPr>
          <w:p w14:paraId="71146F77" w14:textId="77777777" w:rsidR="00F71554" w:rsidRPr="007A79A2" w:rsidRDefault="00F71554" w:rsidP="00B54421">
            <w:pPr>
              <w:jc w:val="center"/>
              <w:rPr>
                <w:rFonts w:asciiTheme="minorHAnsi" w:hAnsiTheme="minorHAnsi" w:cstheme="minorHAnsi"/>
                <w:b/>
              </w:rPr>
            </w:pPr>
            <w:r w:rsidRPr="007A79A2">
              <w:rPr>
                <w:rFonts w:asciiTheme="minorHAnsi" w:hAnsiTheme="minorHAnsi" w:cstheme="minorHAnsi"/>
                <w:b/>
              </w:rPr>
              <w:t>ECTS Value</w:t>
            </w:r>
          </w:p>
        </w:tc>
        <w:tc>
          <w:tcPr>
            <w:tcW w:w="860" w:type="pct"/>
            <w:shd w:val="clear" w:color="auto" w:fill="D9E2F3" w:themeFill="accent1" w:themeFillTint="33"/>
            <w:vAlign w:val="center"/>
          </w:tcPr>
          <w:p w14:paraId="38052117" w14:textId="77777777" w:rsidR="00F71554" w:rsidRPr="007A79A2" w:rsidRDefault="00F71554" w:rsidP="00B54421">
            <w:pPr>
              <w:jc w:val="center"/>
              <w:rPr>
                <w:rFonts w:asciiTheme="minorHAnsi" w:hAnsiTheme="minorHAnsi" w:cstheme="minorHAnsi"/>
                <w:b/>
              </w:rPr>
            </w:pPr>
            <w:r w:rsidRPr="007A79A2">
              <w:rPr>
                <w:rFonts w:asciiTheme="minorHAnsi" w:hAnsiTheme="minorHAnsi" w:cstheme="minorHAnsi"/>
                <w:b/>
              </w:rPr>
              <w:t>Duration</w:t>
            </w:r>
          </w:p>
        </w:tc>
      </w:tr>
      <w:tr w:rsidR="00F71554" w:rsidRPr="007A79A2" w14:paraId="754DDEDA" w14:textId="77777777" w:rsidTr="00B54421">
        <w:tc>
          <w:tcPr>
            <w:tcW w:w="1657" w:type="pct"/>
            <w:gridSpan w:val="2"/>
            <w:tcBorders>
              <w:top w:val="single" w:sz="4" w:space="0" w:color="auto"/>
              <w:bottom w:val="single" w:sz="4" w:space="0" w:color="auto"/>
            </w:tcBorders>
            <w:vAlign w:val="center"/>
          </w:tcPr>
          <w:p w14:paraId="3F9A959D" w14:textId="77777777" w:rsidR="00F71554" w:rsidRPr="007A79A2" w:rsidRDefault="00F71554" w:rsidP="00B54421">
            <w:pPr>
              <w:rPr>
                <w:rFonts w:asciiTheme="minorHAnsi" w:hAnsiTheme="minorHAnsi" w:cstheme="minorHAnsi"/>
                <w:color w:val="000000" w:themeColor="text1"/>
              </w:rPr>
            </w:pPr>
            <w:r w:rsidRPr="007A79A2">
              <w:rPr>
                <w:rFonts w:asciiTheme="minorHAnsi" w:hAnsiTheme="minorHAnsi" w:cstheme="minorHAnsi"/>
                <w:color w:val="000000" w:themeColor="text1"/>
              </w:rPr>
              <w:t>Level 7</w:t>
            </w:r>
          </w:p>
        </w:tc>
        <w:tc>
          <w:tcPr>
            <w:tcW w:w="1623" w:type="pct"/>
            <w:gridSpan w:val="2"/>
            <w:tcBorders>
              <w:top w:val="single" w:sz="4" w:space="0" w:color="auto"/>
              <w:bottom w:val="single" w:sz="4" w:space="0" w:color="auto"/>
            </w:tcBorders>
            <w:vAlign w:val="center"/>
          </w:tcPr>
          <w:p w14:paraId="286A73CA" w14:textId="77777777" w:rsidR="00F71554" w:rsidRPr="007A79A2" w:rsidRDefault="00F71554" w:rsidP="00B54421">
            <w:pPr>
              <w:rPr>
                <w:rFonts w:asciiTheme="minorHAnsi" w:hAnsiTheme="minorHAnsi" w:cstheme="minorHAnsi"/>
                <w:b/>
                <w:bCs/>
                <w:color w:val="000000" w:themeColor="text1"/>
              </w:rPr>
            </w:pPr>
            <w:r w:rsidRPr="007A79A2">
              <w:rPr>
                <w:rFonts w:asciiTheme="minorHAnsi" w:hAnsiTheme="minorHAnsi" w:cstheme="minorHAnsi"/>
                <w:color w:val="000000" w:themeColor="text1"/>
              </w:rPr>
              <w:t>DLSP-LT</w:t>
            </w:r>
          </w:p>
        </w:tc>
        <w:tc>
          <w:tcPr>
            <w:tcW w:w="860" w:type="pct"/>
            <w:gridSpan w:val="2"/>
            <w:tcBorders>
              <w:top w:val="single" w:sz="4" w:space="0" w:color="auto"/>
              <w:bottom w:val="single" w:sz="4" w:space="0" w:color="auto"/>
            </w:tcBorders>
            <w:vAlign w:val="center"/>
          </w:tcPr>
          <w:p w14:paraId="16E8D85D" w14:textId="77777777" w:rsidR="00F71554" w:rsidRPr="007A79A2" w:rsidRDefault="00F71554" w:rsidP="00B54421">
            <w:pPr>
              <w:jc w:val="center"/>
              <w:rPr>
                <w:rFonts w:asciiTheme="minorHAnsi" w:hAnsiTheme="minorHAnsi" w:cstheme="minorHAnsi"/>
                <w:bCs/>
                <w:color w:val="000000" w:themeColor="text1"/>
              </w:rPr>
            </w:pPr>
            <w:r w:rsidRPr="007A79A2">
              <w:rPr>
                <w:rFonts w:asciiTheme="minorHAnsi" w:hAnsiTheme="minorHAnsi" w:cstheme="minorHAnsi"/>
                <w:bCs/>
                <w:color w:val="000000" w:themeColor="text1"/>
              </w:rPr>
              <w:t>5 ECTS</w:t>
            </w:r>
          </w:p>
        </w:tc>
        <w:tc>
          <w:tcPr>
            <w:tcW w:w="860" w:type="pct"/>
            <w:tcBorders>
              <w:top w:val="single" w:sz="4" w:space="0" w:color="auto"/>
              <w:bottom w:val="single" w:sz="4" w:space="0" w:color="auto"/>
            </w:tcBorders>
            <w:vAlign w:val="center"/>
          </w:tcPr>
          <w:p w14:paraId="7DC1224D" w14:textId="77777777" w:rsidR="00F71554" w:rsidRPr="007A79A2" w:rsidRDefault="00F71554" w:rsidP="00B54421">
            <w:pPr>
              <w:jc w:val="center"/>
              <w:rPr>
                <w:rFonts w:asciiTheme="minorHAnsi" w:hAnsiTheme="minorHAnsi" w:cstheme="minorHAnsi"/>
                <w:bCs/>
                <w:color w:val="000000" w:themeColor="text1"/>
              </w:rPr>
            </w:pPr>
            <w:r w:rsidRPr="007A79A2">
              <w:rPr>
                <w:rFonts w:asciiTheme="minorHAnsi" w:hAnsiTheme="minorHAnsi" w:cstheme="minorHAnsi"/>
                <w:bCs/>
                <w:color w:val="000000" w:themeColor="text1"/>
              </w:rPr>
              <w:t>8 weeks</w:t>
            </w:r>
          </w:p>
        </w:tc>
      </w:tr>
      <w:tr w:rsidR="00F71554" w:rsidRPr="007A79A2" w14:paraId="27846148" w14:textId="77777777" w:rsidTr="00B54421">
        <w:tc>
          <w:tcPr>
            <w:tcW w:w="3281" w:type="pct"/>
            <w:gridSpan w:val="4"/>
            <w:shd w:val="clear" w:color="auto" w:fill="D9E2F3" w:themeFill="accent1" w:themeFillTint="33"/>
            <w:vAlign w:val="center"/>
          </w:tcPr>
          <w:p w14:paraId="476B4D34" w14:textId="77777777" w:rsidR="00F71554" w:rsidRPr="007A79A2" w:rsidRDefault="00F71554" w:rsidP="00B54421">
            <w:pPr>
              <w:rPr>
                <w:rFonts w:asciiTheme="minorHAnsi" w:hAnsiTheme="minorHAnsi" w:cstheme="minorHAnsi"/>
                <w:b/>
              </w:rPr>
            </w:pPr>
            <w:r w:rsidRPr="007A79A2">
              <w:rPr>
                <w:rFonts w:asciiTheme="minorHAnsi" w:hAnsiTheme="minorHAnsi" w:cstheme="minorHAnsi"/>
                <w:b/>
              </w:rPr>
              <w:t xml:space="preserve">Parent programme(s). </w:t>
            </w:r>
            <w:r w:rsidRPr="007A79A2">
              <w:rPr>
                <w:rFonts w:asciiTheme="minorHAnsi" w:hAnsiTheme="minorHAnsi" w:cstheme="minorHAnsi"/>
                <w:bCs/>
              </w:rPr>
              <w:t>Principal programme title, and embedded(s) if relevant</w:t>
            </w:r>
          </w:p>
        </w:tc>
        <w:tc>
          <w:tcPr>
            <w:tcW w:w="860" w:type="pct"/>
            <w:gridSpan w:val="2"/>
            <w:shd w:val="clear" w:color="auto" w:fill="D9E2F3" w:themeFill="accent1" w:themeFillTint="33"/>
            <w:vAlign w:val="center"/>
          </w:tcPr>
          <w:p w14:paraId="7A7D8F0A" w14:textId="77777777" w:rsidR="00F71554" w:rsidRPr="007A79A2" w:rsidRDefault="00F71554" w:rsidP="00B54421">
            <w:pPr>
              <w:rPr>
                <w:rFonts w:asciiTheme="minorHAnsi" w:hAnsiTheme="minorHAnsi" w:cstheme="minorHAnsi"/>
                <w:b/>
              </w:rPr>
            </w:pPr>
            <w:r w:rsidRPr="007A79A2">
              <w:rPr>
                <w:rFonts w:asciiTheme="minorHAnsi" w:hAnsiTheme="minorHAnsi" w:cstheme="minorHAnsi"/>
                <w:b/>
              </w:rPr>
              <w:t>Stage of parent programme</w:t>
            </w:r>
          </w:p>
        </w:tc>
        <w:tc>
          <w:tcPr>
            <w:tcW w:w="860" w:type="pct"/>
            <w:shd w:val="clear" w:color="auto" w:fill="D9E2F3" w:themeFill="accent1" w:themeFillTint="33"/>
            <w:vAlign w:val="center"/>
          </w:tcPr>
          <w:p w14:paraId="3DE579F4" w14:textId="77777777" w:rsidR="00F71554" w:rsidRPr="007A79A2" w:rsidRDefault="00F71554" w:rsidP="00B54421">
            <w:pPr>
              <w:rPr>
                <w:rFonts w:asciiTheme="minorHAnsi" w:hAnsiTheme="minorHAnsi" w:cstheme="minorHAnsi"/>
                <w:b/>
              </w:rPr>
            </w:pPr>
            <w:r w:rsidRPr="007A79A2">
              <w:rPr>
                <w:rFonts w:asciiTheme="minorHAnsi" w:hAnsiTheme="minorHAnsi" w:cstheme="minorHAnsi"/>
                <w:b/>
              </w:rPr>
              <w:t>Semester No.</w:t>
            </w:r>
          </w:p>
        </w:tc>
      </w:tr>
      <w:tr w:rsidR="00F71554" w:rsidRPr="007A79A2" w14:paraId="79C4EFF8" w14:textId="77777777" w:rsidTr="00B54421">
        <w:tc>
          <w:tcPr>
            <w:tcW w:w="3281" w:type="pct"/>
            <w:gridSpan w:val="4"/>
            <w:shd w:val="clear" w:color="auto" w:fill="auto"/>
            <w:vAlign w:val="center"/>
          </w:tcPr>
          <w:p w14:paraId="1C94C041" w14:textId="77777777" w:rsidR="00F71554" w:rsidRPr="007A79A2" w:rsidRDefault="00F71554" w:rsidP="00B54421">
            <w:pPr>
              <w:rPr>
                <w:rFonts w:asciiTheme="minorHAnsi" w:hAnsiTheme="minorHAnsi" w:cstheme="minorHAnsi"/>
              </w:rPr>
            </w:pPr>
            <w:r w:rsidRPr="007A79A2">
              <w:rPr>
                <w:rFonts w:asciiTheme="minorHAnsi" w:hAnsiTheme="minorHAnsi" w:cstheme="minorHAnsi"/>
              </w:rPr>
              <w:t>Diploma in L</w:t>
            </w:r>
            <w:r>
              <w:rPr>
                <w:rFonts w:asciiTheme="minorHAnsi" w:hAnsiTheme="minorHAnsi" w:cstheme="minorHAnsi"/>
              </w:rPr>
              <w:t xml:space="preserve">egal Studies and Practice </w:t>
            </w:r>
          </w:p>
        </w:tc>
        <w:tc>
          <w:tcPr>
            <w:tcW w:w="860" w:type="pct"/>
            <w:gridSpan w:val="2"/>
            <w:shd w:val="clear" w:color="auto" w:fill="auto"/>
            <w:vAlign w:val="center"/>
          </w:tcPr>
          <w:p w14:paraId="11A040D4" w14:textId="77777777" w:rsidR="00F71554" w:rsidRPr="007A79A2" w:rsidRDefault="00F71554" w:rsidP="00B54421">
            <w:pPr>
              <w:jc w:val="center"/>
              <w:rPr>
                <w:rFonts w:asciiTheme="minorHAnsi" w:hAnsiTheme="minorHAnsi" w:cstheme="minorHAnsi"/>
              </w:rPr>
            </w:pPr>
            <w:r>
              <w:rPr>
                <w:rFonts w:asciiTheme="minorHAnsi" w:hAnsiTheme="minorHAnsi" w:cstheme="minorHAnsi"/>
              </w:rPr>
              <w:t>Award Stage</w:t>
            </w:r>
          </w:p>
        </w:tc>
        <w:tc>
          <w:tcPr>
            <w:tcW w:w="860" w:type="pct"/>
            <w:shd w:val="clear" w:color="auto" w:fill="auto"/>
            <w:vAlign w:val="center"/>
          </w:tcPr>
          <w:p w14:paraId="4BE3B5DE" w14:textId="77777777" w:rsidR="00F71554" w:rsidRPr="007A79A2" w:rsidRDefault="00F71554" w:rsidP="00B54421">
            <w:pPr>
              <w:jc w:val="center"/>
              <w:rPr>
                <w:rFonts w:asciiTheme="minorHAnsi" w:hAnsiTheme="minorHAnsi" w:cstheme="minorHAnsi"/>
              </w:rPr>
            </w:pPr>
            <w:r w:rsidRPr="007A79A2">
              <w:rPr>
                <w:rFonts w:asciiTheme="minorHAnsi" w:hAnsiTheme="minorHAnsi" w:cstheme="minorHAnsi"/>
              </w:rPr>
              <w:t>Block 2</w:t>
            </w:r>
          </w:p>
        </w:tc>
      </w:tr>
      <w:tr w:rsidR="00F71554" w:rsidRPr="007A79A2" w14:paraId="34DFF7B6" w14:textId="77777777" w:rsidTr="00B54421">
        <w:tc>
          <w:tcPr>
            <w:tcW w:w="3281" w:type="pct"/>
            <w:gridSpan w:val="4"/>
            <w:shd w:val="clear" w:color="auto" w:fill="auto"/>
            <w:vAlign w:val="center"/>
          </w:tcPr>
          <w:p w14:paraId="1336F3A2" w14:textId="77777777" w:rsidR="00F71554" w:rsidRPr="007A79A2" w:rsidRDefault="00F71554" w:rsidP="00B54421">
            <w:pPr>
              <w:rPr>
                <w:rFonts w:asciiTheme="minorHAnsi" w:hAnsiTheme="minorHAnsi" w:cstheme="minorHAnsi"/>
              </w:rPr>
            </w:pPr>
            <w:r>
              <w:rPr>
                <w:rFonts w:asciiTheme="minorHAnsi" w:hAnsiTheme="minorHAnsi" w:cstheme="minorHAnsi"/>
              </w:rPr>
              <w:t>Certificate in Legal Studies</w:t>
            </w:r>
          </w:p>
        </w:tc>
        <w:tc>
          <w:tcPr>
            <w:tcW w:w="860" w:type="pct"/>
            <w:gridSpan w:val="2"/>
            <w:shd w:val="clear" w:color="auto" w:fill="auto"/>
            <w:vAlign w:val="center"/>
          </w:tcPr>
          <w:p w14:paraId="3E2D4F1D" w14:textId="77777777" w:rsidR="00F71554" w:rsidRPr="007A79A2" w:rsidRDefault="00F71554" w:rsidP="00B54421">
            <w:pPr>
              <w:jc w:val="center"/>
              <w:rPr>
                <w:rFonts w:asciiTheme="minorHAnsi" w:hAnsiTheme="minorHAnsi" w:cstheme="minorHAnsi"/>
              </w:rPr>
            </w:pPr>
            <w:r>
              <w:rPr>
                <w:rFonts w:asciiTheme="minorHAnsi" w:hAnsiTheme="minorHAnsi" w:cstheme="minorHAnsi"/>
              </w:rPr>
              <w:t>Award Stage</w:t>
            </w:r>
          </w:p>
        </w:tc>
        <w:tc>
          <w:tcPr>
            <w:tcW w:w="860" w:type="pct"/>
            <w:shd w:val="clear" w:color="auto" w:fill="auto"/>
            <w:vAlign w:val="center"/>
          </w:tcPr>
          <w:p w14:paraId="6B40ED64" w14:textId="77777777" w:rsidR="00F71554" w:rsidRPr="007A79A2" w:rsidRDefault="00F71554" w:rsidP="00B54421">
            <w:pPr>
              <w:jc w:val="center"/>
              <w:rPr>
                <w:rFonts w:asciiTheme="minorHAnsi" w:hAnsiTheme="minorHAnsi" w:cstheme="minorHAnsi"/>
              </w:rPr>
            </w:pPr>
            <w:r w:rsidRPr="007A79A2">
              <w:rPr>
                <w:rFonts w:asciiTheme="minorHAnsi" w:hAnsiTheme="minorHAnsi" w:cstheme="minorHAnsi"/>
              </w:rPr>
              <w:t>Block 2</w:t>
            </w:r>
          </w:p>
        </w:tc>
      </w:tr>
      <w:tr w:rsidR="00F71554" w:rsidRPr="007A79A2" w14:paraId="5C19A072" w14:textId="77777777" w:rsidTr="00B54421">
        <w:tc>
          <w:tcPr>
            <w:tcW w:w="1657" w:type="pct"/>
            <w:gridSpan w:val="2"/>
            <w:shd w:val="clear" w:color="auto" w:fill="D9E2F3" w:themeFill="accent1" w:themeFillTint="33"/>
            <w:vAlign w:val="center"/>
          </w:tcPr>
          <w:p w14:paraId="0F2EC7A1" w14:textId="77777777" w:rsidR="00F71554" w:rsidRPr="007A79A2" w:rsidRDefault="00F71554" w:rsidP="00B54421">
            <w:pPr>
              <w:rPr>
                <w:rFonts w:asciiTheme="minorHAnsi" w:hAnsiTheme="minorHAnsi" w:cstheme="minorHAnsi"/>
                <w:b/>
              </w:rPr>
            </w:pPr>
            <w:r w:rsidRPr="007A79A2">
              <w:rPr>
                <w:rFonts w:asciiTheme="minorHAnsi" w:hAnsiTheme="minorHAnsi" w:cstheme="minorHAnsi"/>
                <w:b/>
                <w:color w:val="000000"/>
                <w:lang w:eastAsia="en-US"/>
              </w:rPr>
              <w:t>Teaching and Learning modes</w:t>
            </w:r>
          </w:p>
        </w:tc>
        <w:tc>
          <w:tcPr>
            <w:tcW w:w="3343" w:type="pct"/>
            <w:gridSpan w:val="5"/>
            <w:shd w:val="clear" w:color="auto" w:fill="D9E2F3" w:themeFill="accent1" w:themeFillTint="33"/>
            <w:vAlign w:val="center"/>
          </w:tcPr>
          <w:p w14:paraId="10AD1C0C" w14:textId="77777777" w:rsidR="00F71554" w:rsidRPr="007A79A2" w:rsidRDefault="00F71554" w:rsidP="00B54421">
            <w:pPr>
              <w:rPr>
                <w:rFonts w:asciiTheme="minorHAnsi" w:hAnsiTheme="minorHAnsi" w:cstheme="minorHAnsi"/>
                <w:b/>
              </w:rPr>
            </w:pPr>
            <w:r w:rsidRPr="007A79A2">
              <w:rPr>
                <w:rFonts w:asciiTheme="minorHAnsi" w:hAnsiTheme="minorHAnsi" w:cstheme="minorHAnsi"/>
                <w:b/>
                <w:color w:val="000000"/>
                <w:lang w:eastAsia="en-US"/>
              </w:rPr>
              <w:t xml:space="preserve">Proportion </w:t>
            </w:r>
            <w:r w:rsidRPr="007A79A2">
              <w:rPr>
                <w:rFonts w:asciiTheme="minorHAnsi" w:hAnsiTheme="minorHAnsi" w:cstheme="minorHAnsi"/>
                <w:color w:val="000000"/>
                <w:lang w:eastAsia="en-US"/>
              </w:rPr>
              <w:t>(% of Total Directed Learning)</w:t>
            </w:r>
          </w:p>
        </w:tc>
      </w:tr>
      <w:tr w:rsidR="00F71554" w:rsidRPr="007A79A2" w14:paraId="64FF27F5" w14:textId="77777777" w:rsidTr="00B54421">
        <w:trPr>
          <w:trHeight w:val="283"/>
        </w:trPr>
        <w:tc>
          <w:tcPr>
            <w:tcW w:w="1657" w:type="pct"/>
            <w:gridSpan w:val="2"/>
            <w:shd w:val="clear" w:color="auto" w:fill="auto"/>
            <w:vAlign w:val="center"/>
          </w:tcPr>
          <w:p w14:paraId="5E2D1612" w14:textId="77777777" w:rsidR="00F71554" w:rsidRPr="007A79A2" w:rsidRDefault="00F71554" w:rsidP="00B54421">
            <w:pPr>
              <w:rPr>
                <w:rFonts w:asciiTheme="minorHAnsi" w:hAnsiTheme="minorHAnsi" w:cstheme="minorHAnsi"/>
                <w:b/>
              </w:rPr>
            </w:pPr>
            <w:r w:rsidRPr="007A79A2">
              <w:rPr>
                <w:rFonts w:asciiTheme="minorHAnsi" w:hAnsiTheme="minorHAnsi" w:cstheme="minorHAnsi"/>
                <w:color w:val="000000"/>
                <w:lang w:eastAsia="en-US"/>
              </w:rPr>
              <w:t>Classroom / Face to Face</w:t>
            </w:r>
          </w:p>
        </w:tc>
        <w:tc>
          <w:tcPr>
            <w:tcW w:w="3343" w:type="pct"/>
            <w:gridSpan w:val="5"/>
            <w:shd w:val="clear" w:color="auto" w:fill="auto"/>
            <w:vAlign w:val="center"/>
          </w:tcPr>
          <w:p w14:paraId="02B49685" w14:textId="77777777" w:rsidR="00F71554" w:rsidRPr="007A79A2" w:rsidRDefault="00F71554" w:rsidP="00B54421">
            <w:pPr>
              <w:rPr>
                <w:rFonts w:asciiTheme="minorHAnsi" w:hAnsiTheme="minorHAnsi" w:cstheme="minorHAnsi"/>
                <w:bCs/>
              </w:rPr>
            </w:pPr>
            <w:r w:rsidRPr="007A79A2">
              <w:rPr>
                <w:rFonts w:asciiTheme="minorHAnsi" w:hAnsiTheme="minorHAnsi" w:cstheme="minorHAnsi"/>
                <w:bCs/>
              </w:rPr>
              <w:t>20%</w:t>
            </w:r>
          </w:p>
        </w:tc>
      </w:tr>
      <w:tr w:rsidR="00F71554" w:rsidRPr="007A79A2" w14:paraId="434110F7" w14:textId="77777777" w:rsidTr="00B54421">
        <w:trPr>
          <w:trHeight w:val="283"/>
        </w:trPr>
        <w:tc>
          <w:tcPr>
            <w:tcW w:w="1657" w:type="pct"/>
            <w:gridSpan w:val="2"/>
            <w:shd w:val="clear" w:color="auto" w:fill="auto"/>
            <w:vAlign w:val="center"/>
          </w:tcPr>
          <w:p w14:paraId="2BACD253" w14:textId="77777777" w:rsidR="00F71554" w:rsidRPr="007A79A2" w:rsidRDefault="00F71554" w:rsidP="00B54421">
            <w:pPr>
              <w:rPr>
                <w:rFonts w:asciiTheme="minorHAnsi" w:hAnsiTheme="minorHAnsi" w:cstheme="minorHAnsi"/>
              </w:rPr>
            </w:pPr>
            <w:r w:rsidRPr="007A79A2">
              <w:rPr>
                <w:rFonts w:asciiTheme="minorHAnsi" w:hAnsiTheme="minorHAnsi" w:cstheme="minorHAnsi"/>
                <w:color w:val="000000"/>
                <w:lang w:eastAsia="en-US"/>
              </w:rPr>
              <w:t>Workplace</w:t>
            </w:r>
          </w:p>
        </w:tc>
        <w:tc>
          <w:tcPr>
            <w:tcW w:w="3343" w:type="pct"/>
            <w:gridSpan w:val="5"/>
            <w:shd w:val="clear" w:color="auto" w:fill="auto"/>
            <w:vAlign w:val="center"/>
          </w:tcPr>
          <w:p w14:paraId="200D8F59" w14:textId="77777777" w:rsidR="00F71554" w:rsidRPr="007A79A2" w:rsidRDefault="00F71554" w:rsidP="00B54421">
            <w:pPr>
              <w:rPr>
                <w:rFonts w:asciiTheme="minorHAnsi" w:hAnsiTheme="minorHAnsi" w:cstheme="minorHAnsi"/>
              </w:rPr>
            </w:pPr>
            <w:r>
              <w:rPr>
                <w:rFonts w:asciiTheme="minorHAnsi" w:hAnsiTheme="minorHAnsi" w:cstheme="minorHAnsi"/>
              </w:rPr>
              <w:t>-</w:t>
            </w:r>
          </w:p>
        </w:tc>
      </w:tr>
      <w:tr w:rsidR="00F71554" w:rsidRPr="007A79A2" w14:paraId="75C12A2F" w14:textId="77777777" w:rsidTr="00B54421">
        <w:trPr>
          <w:trHeight w:val="283"/>
        </w:trPr>
        <w:tc>
          <w:tcPr>
            <w:tcW w:w="1657" w:type="pct"/>
            <w:gridSpan w:val="2"/>
            <w:shd w:val="clear" w:color="auto" w:fill="auto"/>
            <w:vAlign w:val="center"/>
          </w:tcPr>
          <w:p w14:paraId="3234A015" w14:textId="77777777" w:rsidR="00F71554" w:rsidRPr="007A79A2" w:rsidRDefault="00F71554" w:rsidP="00B54421">
            <w:pPr>
              <w:rPr>
                <w:rFonts w:asciiTheme="minorHAnsi" w:hAnsiTheme="minorHAnsi" w:cstheme="minorHAnsi"/>
              </w:rPr>
            </w:pPr>
            <w:r w:rsidRPr="007A79A2">
              <w:rPr>
                <w:rFonts w:asciiTheme="minorHAnsi" w:hAnsiTheme="minorHAnsi" w:cstheme="minorHAnsi"/>
                <w:color w:val="000000"/>
                <w:lang w:eastAsia="en-US"/>
              </w:rPr>
              <w:t>Online</w:t>
            </w:r>
          </w:p>
        </w:tc>
        <w:tc>
          <w:tcPr>
            <w:tcW w:w="3343" w:type="pct"/>
            <w:gridSpan w:val="5"/>
            <w:shd w:val="clear" w:color="auto" w:fill="auto"/>
            <w:vAlign w:val="center"/>
          </w:tcPr>
          <w:p w14:paraId="27EE22FE" w14:textId="77777777" w:rsidR="00F71554" w:rsidRPr="007A79A2" w:rsidRDefault="00F71554" w:rsidP="00B54421">
            <w:pPr>
              <w:rPr>
                <w:rFonts w:asciiTheme="minorHAnsi" w:hAnsiTheme="minorHAnsi" w:cstheme="minorHAnsi"/>
              </w:rPr>
            </w:pPr>
            <w:r>
              <w:rPr>
                <w:rFonts w:asciiTheme="minorHAnsi" w:hAnsiTheme="minorHAnsi" w:cstheme="minorHAnsi"/>
              </w:rPr>
              <w:t>-</w:t>
            </w:r>
          </w:p>
        </w:tc>
      </w:tr>
      <w:tr w:rsidR="00F71554" w:rsidRPr="007A79A2" w14:paraId="2AECD203" w14:textId="77777777" w:rsidTr="00B54421">
        <w:trPr>
          <w:trHeight w:val="283"/>
        </w:trPr>
        <w:tc>
          <w:tcPr>
            <w:tcW w:w="1657" w:type="pct"/>
            <w:gridSpan w:val="2"/>
            <w:shd w:val="clear" w:color="auto" w:fill="auto"/>
            <w:vAlign w:val="center"/>
          </w:tcPr>
          <w:p w14:paraId="0E7C4AF5" w14:textId="77777777" w:rsidR="00F71554" w:rsidRPr="007A79A2" w:rsidRDefault="00F71554" w:rsidP="00B54421">
            <w:pPr>
              <w:rPr>
                <w:rFonts w:asciiTheme="minorHAnsi" w:hAnsiTheme="minorHAnsi" w:cstheme="minorHAnsi"/>
                <w:color w:val="000000"/>
                <w:lang w:eastAsia="en-US"/>
              </w:rPr>
            </w:pPr>
            <w:r w:rsidRPr="007A79A2">
              <w:rPr>
                <w:rFonts w:asciiTheme="minorHAnsi" w:hAnsiTheme="minorHAnsi" w:cstheme="minorHAnsi"/>
                <w:color w:val="000000"/>
                <w:lang w:eastAsia="en-US"/>
              </w:rPr>
              <w:t>Other (Identify)</w:t>
            </w:r>
          </w:p>
        </w:tc>
        <w:tc>
          <w:tcPr>
            <w:tcW w:w="3343" w:type="pct"/>
            <w:gridSpan w:val="5"/>
            <w:shd w:val="clear" w:color="auto" w:fill="auto"/>
            <w:vAlign w:val="center"/>
          </w:tcPr>
          <w:p w14:paraId="51545279" w14:textId="77777777" w:rsidR="00F71554" w:rsidRPr="007A79A2" w:rsidRDefault="00F71554" w:rsidP="00B54421">
            <w:pPr>
              <w:rPr>
                <w:rFonts w:asciiTheme="minorHAnsi" w:hAnsiTheme="minorHAnsi" w:cstheme="minorHAnsi"/>
                <w:bCs/>
              </w:rPr>
            </w:pPr>
            <w:r w:rsidRPr="007A79A2">
              <w:rPr>
                <w:rFonts w:asciiTheme="minorHAnsi" w:hAnsiTheme="minorHAnsi" w:cstheme="minorHAnsi"/>
                <w:bCs/>
              </w:rPr>
              <w:t>80%</w:t>
            </w:r>
            <w:r>
              <w:rPr>
                <w:rFonts w:asciiTheme="minorHAnsi" w:hAnsiTheme="minorHAnsi" w:cstheme="minorHAnsi"/>
                <w:bCs/>
              </w:rPr>
              <w:t xml:space="preserve"> (independent study)</w:t>
            </w:r>
          </w:p>
        </w:tc>
      </w:tr>
      <w:tr w:rsidR="00F71554" w:rsidRPr="007A79A2" w14:paraId="1DCCE23A" w14:textId="77777777" w:rsidTr="00B54421">
        <w:tc>
          <w:tcPr>
            <w:tcW w:w="5000" w:type="pct"/>
            <w:gridSpan w:val="7"/>
            <w:shd w:val="clear" w:color="auto" w:fill="D9E2F3" w:themeFill="accent1" w:themeFillTint="33"/>
            <w:vAlign w:val="center"/>
          </w:tcPr>
          <w:p w14:paraId="5A417FB3" w14:textId="77777777" w:rsidR="00F71554" w:rsidRPr="007A79A2" w:rsidRDefault="00F71554" w:rsidP="00B54421">
            <w:pPr>
              <w:rPr>
                <w:rFonts w:asciiTheme="minorHAnsi" w:hAnsiTheme="minorHAnsi" w:cstheme="minorHAnsi"/>
                <w:b/>
              </w:rPr>
            </w:pPr>
            <w:r w:rsidRPr="007A79A2">
              <w:rPr>
                <w:rFonts w:asciiTheme="minorHAnsi" w:hAnsiTheme="minorHAnsi" w:cstheme="minorHAnsi"/>
                <w:b/>
              </w:rPr>
              <w:t>Entry requirements (statement of knowledge, skill and competence)</w:t>
            </w:r>
          </w:p>
        </w:tc>
      </w:tr>
      <w:tr w:rsidR="00F71554" w:rsidRPr="007A79A2" w14:paraId="671FFF64" w14:textId="77777777" w:rsidTr="00B54421">
        <w:tc>
          <w:tcPr>
            <w:tcW w:w="5000" w:type="pct"/>
            <w:gridSpan w:val="7"/>
            <w:shd w:val="clear" w:color="auto" w:fill="auto"/>
            <w:vAlign w:val="center"/>
          </w:tcPr>
          <w:p w14:paraId="580F89A2" w14:textId="77777777" w:rsidR="00F71554" w:rsidRPr="007A79A2" w:rsidRDefault="00F71554" w:rsidP="00B54421">
            <w:pPr>
              <w:rPr>
                <w:rFonts w:asciiTheme="minorHAnsi" w:hAnsiTheme="minorHAnsi" w:cstheme="minorHAnsi"/>
              </w:rPr>
            </w:pPr>
            <w:r w:rsidRPr="007A79A2">
              <w:rPr>
                <w:rFonts w:asciiTheme="minorHAnsi" w:hAnsiTheme="minorHAnsi" w:cstheme="minorHAnsi"/>
              </w:rPr>
              <w:t>Learners must comply with and mee</w:t>
            </w:r>
            <w:r>
              <w:rPr>
                <w:rFonts w:asciiTheme="minorHAnsi" w:hAnsiTheme="minorHAnsi" w:cstheme="minorHAnsi"/>
              </w:rPr>
              <w:t>t programme entry requirements.</w:t>
            </w:r>
          </w:p>
        </w:tc>
      </w:tr>
      <w:tr w:rsidR="00F71554" w:rsidRPr="007A79A2" w14:paraId="4D61759B" w14:textId="77777777" w:rsidTr="00B54421">
        <w:tc>
          <w:tcPr>
            <w:tcW w:w="2186" w:type="pct"/>
            <w:gridSpan w:val="3"/>
            <w:shd w:val="clear" w:color="auto" w:fill="D9E2F3" w:themeFill="accent1" w:themeFillTint="33"/>
            <w:vAlign w:val="center"/>
          </w:tcPr>
          <w:p w14:paraId="51957C9D" w14:textId="77777777" w:rsidR="00F71554" w:rsidRPr="007A79A2" w:rsidRDefault="00F71554" w:rsidP="00B54421">
            <w:pPr>
              <w:rPr>
                <w:rFonts w:asciiTheme="minorHAnsi" w:hAnsiTheme="minorHAnsi" w:cstheme="minorHAnsi"/>
                <w:b/>
              </w:rPr>
            </w:pPr>
            <w:r w:rsidRPr="007A79A2">
              <w:rPr>
                <w:rFonts w:asciiTheme="minorHAnsi" w:hAnsiTheme="minorHAnsi" w:cstheme="minorHAnsi"/>
                <w:b/>
              </w:rPr>
              <w:t>Maximum number of learners per instance of the module</w:t>
            </w:r>
          </w:p>
        </w:tc>
        <w:tc>
          <w:tcPr>
            <w:tcW w:w="2814" w:type="pct"/>
            <w:gridSpan w:val="4"/>
            <w:shd w:val="clear" w:color="auto" w:fill="FFFFFF" w:themeFill="background1"/>
            <w:vAlign w:val="center"/>
          </w:tcPr>
          <w:p w14:paraId="6EDA7257" w14:textId="77777777" w:rsidR="00F71554" w:rsidRPr="007A79A2" w:rsidRDefault="00F71554" w:rsidP="00B54421">
            <w:pPr>
              <w:rPr>
                <w:rFonts w:asciiTheme="minorHAnsi" w:hAnsiTheme="minorHAnsi" w:cstheme="minorHAnsi"/>
              </w:rPr>
            </w:pPr>
            <w:r w:rsidRPr="007A79A2">
              <w:rPr>
                <w:rFonts w:asciiTheme="minorHAnsi" w:hAnsiTheme="minorHAnsi" w:cstheme="minorHAnsi"/>
              </w:rPr>
              <w:t>80</w:t>
            </w:r>
            <w:r>
              <w:rPr>
                <w:rFonts w:asciiTheme="minorHAnsi" w:hAnsiTheme="minorHAnsi" w:cstheme="minorHAnsi"/>
              </w:rPr>
              <w:t xml:space="preserve"> learners</w:t>
            </w:r>
          </w:p>
        </w:tc>
      </w:tr>
      <w:tr w:rsidR="00F71554" w:rsidRPr="007A79A2" w14:paraId="60992566" w14:textId="77777777" w:rsidTr="00B54421">
        <w:tc>
          <w:tcPr>
            <w:tcW w:w="2186" w:type="pct"/>
            <w:gridSpan w:val="3"/>
            <w:shd w:val="clear" w:color="auto" w:fill="D9E2F3" w:themeFill="accent1" w:themeFillTint="33"/>
            <w:vAlign w:val="center"/>
          </w:tcPr>
          <w:p w14:paraId="2EE99AD8" w14:textId="77777777" w:rsidR="00F71554" w:rsidRPr="007A79A2" w:rsidRDefault="00F71554" w:rsidP="00B54421">
            <w:pPr>
              <w:rPr>
                <w:rFonts w:asciiTheme="minorHAnsi" w:hAnsiTheme="minorHAnsi" w:cstheme="minorHAnsi"/>
                <w:b/>
              </w:rPr>
            </w:pPr>
            <w:r w:rsidRPr="007A79A2">
              <w:rPr>
                <w:rFonts w:asciiTheme="minorHAnsi" w:hAnsiTheme="minorHAnsi" w:cstheme="minorHAnsi"/>
                <w:b/>
              </w:rPr>
              <w:t xml:space="preserve">Average (over the duration of the module) of the contact hours per week </w:t>
            </w:r>
          </w:p>
        </w:tc>
        <w:tc>
          <w:tcPr>
            <w:tcW w:w="2814" w:type="pct"/>
            <w:gridSpan w:val="4"/>
            <w:shd w:val="clear" w:color="auto" w:fill="FFFFFF" w:themeFill="background1"/>
            <w:vAlign w:val="center"/>
          </w:tcPr>
          <w:p w14:paraId="52E61AA6" w14:textId="77777777" w:rsidR="00F71554" w:rsidRPr="007A79A2" w:rsidRDefault="00F71554" w:rsidP="00B54421">
            <w:pPr>
              <w:rPr>
                <w:rFonts w:asciiTheme="minorHAnsi" w:hAnsiTheme="minorHAnsi" w:cstheme="minorHAnsi"/>
              </w:rPr>
            </w:pPr>
            <w:r w:rsidRPr="007A79A2">
              <w:rPr>
                <w:rFonts w:asciiTheme="minorHAnsi" w:hAnsiTheme="minorHAnsi" w:cstheme="minorHAnsi"/>
              </w:rPr>
              <w:t>4</w:t>
            </w:r>
            <w:r>
              <w:rPr>
                <w:rFonts w:asciiTheme="minorHAnsi" w:hAnsiTheme="minorHAnsi" w:cstheme="minorHAnsi"/>
              </w:rPr>
              <w:t xml:space="preserve"> hours</w:t>
            </w:r>
          </w:p>
        </w:tc>
      </w:tr>
      <w:tr w:rsidR="00F71554" w:rsidRPr="007A79A2" w14:paraId="5952CE26" w14:textId="77777777" w:rsidTr="00B54421">
        <w:tc>
          <w:tcPr>
            <w:tcW w:w="2186" w:type="pct"/>
            <w:gridSpan w:val="3"/>
            <w:shd w:val="clear" w:color="auto" w:fill="D9E2F3" w:themeFill="accent1" w:themeFillTint="33"/>
            <w:vAlign w:val="center"/>
          </w:tcPr>
          <w:p w14:paraId="6E3CA4C0" w14:textId="77777777" w:rsidR="00F71554" w:rsidRPr="007A79A2" w:rsidRDefault="00F71554" w:rsidP="00B54421">
            <w:pPr>
              <w:rPr>
                <w:rFonts w:asciiTheme="minorHAnsi" w:hAnsiTheme="minorHAnsi" w:cstheme="minorHAnsi"/>
                <w:b/>
              </w:rPr>
            </w:pPr>
            <w:r w:rsidRPr="007A79A2">
              <w:rPr>
                <w:rFonts w:asciiTheme="minorHAnsi" w:hAnsiTheme="minorHAnsi" w:cstheme="minorHAnsi"/>
                <w:b/>
              </w:rPr>
              <w:t>Pre-requisite module title(s) (if any)</w:t>
            </w:r>
          </w:p>
        </w:tc>
        <w:tc>
          <w:tcPr>
            <w:tcW w:w="2814" w:type="pct"/>
            <w:gridSpan w:val="4"/>
            <w:shd w:val="clear" w:color="auto" w:fill="FFFFFF" w:themeFill="background1"/>
            <w:vAlign w:val="center"/>
          </w:tcPr>
          <w:p w14:paraId="27894CC4" w14:textId="77777777" w:rsidR="00F71554" w:rsidRPr="007A79A2" w:rsidRDefault="00F71554" w:rsidP="00B54421">
            <w:pPr>
              <w:rPr>
                <w:rFonts w:asciiTheme="minorHAnsi" w:hAnsiTheme="minorHAnsi" w:cstheme="minorHAnsi"/>
              </w:rPr>
            </w:pPr>
            <w:r w:rsidRPr="007A79A2">
              <w:rPr>
                <w:rFonts w:asciiTheme="minorHAnsi" w:hAnsiTheme="minorHAnsi" w:cstheme="minorHAnsi"/>
              </w:rPr>
              <w:t>n/a</w:t>
            </w:r>
          </w:p>
        </w:tc>
      </w:tr>
      <w:tr w:rsidR="00F71554" w:rsidRPr="007A79A2" w14:paraId="37E02A29" w14:textId="77777777" w:rsidTr="00B54421">
        <w:tc>
          <w:tcPr>
            <w:tcW w:w="2186" w:type="pct"/>
            <w:gridSpan w:val="3"/>
            <w:shd w:val="clear" w:color="auto" w:fill="D9E2F3" w:themeFill="accent1" w:themeFillTint="33"/>
            <w:vAlign w:val="center"/>
          </w:tcPr>
          <w:p w14:paraId="58BB6491" w14:textId="77777777" w:rsidR="00F71554" w:rsidRPr="007A79A2" w:rsidRDefault="00F71554" w:rsidP="00B54421">
            <w:pPr>
              <w:rPr>
                <w:rFonts w:asciiTheme="minorHAnsi" w:hAnsiTheme="minorHAnsi" w:cstheme="minorHAnsi"/>
                <w:b/>
              </w:rPr>
            </w:pPr>
            <w:r w:rsidRPr="007A79A2">
              <w:rPr>
                <w:rFonts w:asciiTheme="minorHAnsi" w:hAnsiTheme="minorHAnsi" w:cstheme="minorHAnsi"/>
                <w:b/>
              </w:rPr>
              <w:t>Co-requisite module title(s) (if any)</w:t>
            </w:r>
          </w:p>
        </w:tc>
        <w:tc>
          <w:tcPr>
            <w:tcW w:w="2814" w:type="pct"/>
            <w:gridSpan w:val="4"/>
            <w:shd w:val="clear" w:color="auto" w:fill="FFFFFF" w:themeFill="background1"/>
            <w:vAlign w:val="center"/>
          </w:tcPr>
          <w:p w14:paraId="280DE392" w14:textId="77777777" w:rsidR="00F71554" w:rsidRPr="007A79A2" w:rsidRDefault="00F71554" w:rsidP="00B54421">
            <w:pPr>
              <w:rPr>
                <w:rFonts w:asciiTheme="minorHAnsi" w:hAnsiTheme="minorHAnsi" w:cstheme="minorHAnsi"/>
              </w:rPr>
            </w:pPr>
            <w:r w:rsidRPr="007A79A2">
              <w:rPr>
                <w:rFonts w:asciiTheme="minorHAnsi" w:hAnsiTheme="minorHAnsi" w:cstheme="minorHAnsi"/>
              </w:rPr>
              <w:t>n/a</w:t>
            </w:r>
          </w:p>
        </w:tc>
      </w:tr>
      <w:tr w:rsidR="00F71554" w:rsidRPr="007A79A2" w14:paraId="6944B81C" w14:textId="77777777" w:rsidTr="00B54421">
        <w:tc>
          <w:tcPr>
            <w:tcW w:w="2186" w:type="pct"/>
            <w:gridSpan w:val="3"/>
            <w:shd w:val="clear" w:color="auto" w:fill="D9E2F3" w:themeFill="accent1" w:themeFillTint="33"/>
            <w:vAlign w:val="center"/>
          </w:tcPr>
          <w:p w14:paraId="2DBE43BB" w14:textId="77777777" w:rsidR="00F71554" w:rsidRPr="007A79A2" w:rsidRDefault="00F71554" w:rsidP="00B54421">
            <w:pPr>
              <w:rPr>
                <w:rFonts w:asciiTheme="minorHAnsi" w:hAnsiTheme="minorHAnsi" w:cstheme="minorHAnsi"/>
                <w:b/>
              </w:rPr>
            </w:pPr>
            <w:r w:rsidRPr="007A79A2">
              <w:rPr>
                <w:rFonts w:asciiTheme="minorHAnsi" w:hAnsiTheme="minorHAnsi" w:cstheme="minorHAnsi"/>
                <w:b/>
              </w:rPr>
              <w:t>Is this a capstone module? (Yes or No)</w:t>
            </w:r>
          </w:p>
        </w:tc>
        <w:tc>
          <w:tcPr>
            <w:tcW w:w="2814" w:type="pct"/>
            <w:gridSpan w:val="4"/>
            <w:shd w:val="clear" w:color="auto" w:fill="FFFFFF" w:themeFill="background1"/>
            <w:vAlign w:val="center"/>
          </w:tcPr>
          <w:p w14:paraId="773938CB" w14:textId="77777777" w:rsidR="00F71554" w:rsidRPr="007A79A2" w:rsidRDefault="00F71554" w:rsidP="00B54421">
            <w:pPr>
              <w:rPr>
                <w:rFonts w:asciiTheme="minorHAnsi" w:hAnsiTheme="minorHAnsi" w:cstheme="minorHAnsi"/>
              </w:rPr>
            </w:pPr>
            <w:r w:rsidRPr="007A79A2">
              <w:rPr>
                <w:rFonts w:asciiTheme="minorHAnsi" w:hAnsiTheme="minorHAnsi" w:cstheme="minorHAnsi"/>
              </w:rPr>
              <w:t>No</w:t>
            </w:r>
          </w:p>
        </w:tc>
      </w:tr>
      <w:tr w:rsidR="00F71554" w:rsidRPr="007A79A2" w14:paraId="235752D1" w14:textId="77777777" w:rsidTr="00B54421">
        <w:tc>
          <w:tcPr>
            <w:tcW w:w="5000" w:type="pct"/>
            <w:gridSpan w:val="7"/>
            <w:shd w:val="clear" w:color="auto" w:fill="D9E2F3" w:themeFill="accent1" w:themeFillTint="33"/>
            <w:vAlign w:val="center"/>
          </w:tcPr>
          <w:p w14:paraId="0C57E776" w14:textId="77777777" w:rsidR="00F71554" w:rsidRPr="007A79A2" w:rsidRDefault="00F71554" w:rsidP="00B54421">
            <w:pPr>
              <w:rPr>
                <w:rFonts w:asciiTheme="minorHAnsi" w:hAnsiTheme="minorHAnsi" w:cstheme="minorHAnsi"/>
                <w:b/>
              </w:rPr>
            </w:pPr>
            <w:r w:rsidRPr="007A79A2">
              <w:rPr>
                <w:rFonts w:asciiTheme="minorHAnsi" w:hAnsiTheme="minorHAnsi" w:cstheme="minorHAnsi"/>
                <w:b/>
              </w:rPr>
              <w:t>Module-specific physical resources and support required</w:t>
            </w:r>
            <w:r w:rsidRPr="007A79A2">
              <w:rPr>
                <w:rFonts w:asciiTheme="minorHAnsi" w:hAnsiTheme="minorHAnsi" w:cstheme="minorHAnsi"/>
              </w:rPr>
              <w:t xml:space="preserve"> </w:t>
            </w:r>
            <w:r w:rsidRPr="007A79A2">
              <w:rPr>
                <w:rFonts w:asciiTheme="minorHAnsi" w:hAnsiTheme="minorHAnsi" w:cstheme="minorHAnsi"/>
                <w:b/>
              </w:rPr>
              <w:t>per centre (or instance of the module)</w:t>
            </w:r>
          </w:p>
        </w:tc>
      </w:tr>
      <w:tr w:rsidR="00F71554" w:rsidRPr="007A79A2" w14:paraId="683670FC" w14:textId="77777777" w:rsidTr="00B54421">
        <w:tc>
          <w:tcPr>
            <w:tcW w:w="5000" w:type="pct"/>
            <w:gridSpan w:val="7"/>
            <w:shd w:val="clear" w:color="auto" w:fill="FFFFFF" w:themeFill="background1"/>
            <w:vAlign w:val="center"/>
          </w:tcPr>
          <w:p w14:paraId="6810D133" w14:textId="77777777" w:rsidR="00F71554" w:rsidRPr="007A79A2" w:rsidRDefault="00F71554" w:rsidP="00B54421">
            <w:pPr>
              <w:rPr>
                <w:rFonts w:asciiTheme="minorHAnsi" w:hAnsiTheme="minorHAnsi" w:cstheme="minorHAnsi"/>
              </w:rPr>
            </w:pPr>
            <w:r w:rsidRPr="007A79A2">
              <w:rPr>
                <w:rFonts w:asciiTheme="minorHAnsi" w:hAnsiTheme="minorHAnsi" w:cstheme="minorHAnsi"/>
              </w:rPr>
              <w:t>Lecture room with Wi-Fi access, digital recording facilities, Zoo</w:t>
            </w:r>
            <w:r>
              <w:rPr>
                <w:rFonts w:asciiTheme="minorHAnsi" w:hAnsiTheme="minorHAnsi" w:cstheme="minorHAnsi"/>
              </w:rPr>
              <w:t>m access and digital projector.</w:t>
            </w:r>
          </w:p>
        </w:tc>
      </w:tr>
      <w:tr w:rsidR="00F71554" w:rsidRPr="007A79A2" w14:paraId="1596457B" w14:textId="77777777" w:rsidTr="00B54421">
        <w:tc>
          <w:tcPr>
            <w:tcW w:w="5000" w:type="pct"/>
            <w:gridSpan w:val="7"/>
            <w:shd w:val="clear" w:color="auto" w:fill="D9E2F3" w:themeFill="accent1" w:themeFillTint="33"/>
            <w:vAlign w:val="center"/>
          </w:tcPr>
          <w:p w14:paraId="0B995D20" w14:textId="77777777" w:rsidR="00F71554" w:rsidRPr="007A79A2" w:rsidRDefault="00F71554" w:rsidP="00B54421">
            <w:pPr>
              <w:rPr>
                <w:rFonts w:asciiTheme="minorHAnsi" w:hAnsiTheme="minorHAnsi" w:cstheme="minorHAnsi"/>
              </w:rPr>
            </w:pPr>
            <w:r w:rsidRPr="007A79A2">
              <w:rPr>
                <w:rFonts w:asciiTheme="minorHAnsi" w:hAnsiTheme="minorHAnsi" w:cstheme="minorHAnsi"/>
                <w:b/>
              </w:rPr>
              <w:t>Specification of the qualifications (academic, pedagogical and professional/occupational) and experience required of staff working in this module</w:t>
            </w:r>
            <w:r>
              <w:rPr>
                <w:rFonts w:asciiTheme="minorHAnsi" w:hAnsiTheme="minorHAnsi" w:cstheme="minorHAnsi"/>
                <w:b/>
              </w:rPr>
              <w:t>.</w:t>
            </w:r>
            <w:r w:rsidRPr="007A79A2">
              <w:rPr>
                <w:rFonts w:asciiTheme="minorHAnsi" w:hAnsiTheme="minorHAnsi" w:cstheme="minorHAnsi"/>
                <w:b/>
              </w:rPr>
              <w:t xml:space="preserve"> </w:t>
            </w:r>
          </w:p>
        </w:tc>
      </w:tr>
      <w:tr w:rsidR="00F71554" w:rsidRPr="007A79A2" w14:paraId="4F4A3015" w14:textId="77777777" w:rsidTr="00B54421">
        <w:tc>
          <w:tcPr>
            <w:tcW w:w="1238" w:type="pct"/>
            <w:vAlign w:val="center"/>
          </w:tcPr>
          <w:p w14:paraId="40F443A5" w14:textId="77777777" w:rsidR="00F71554" w:rsidRPr="007A79A2" w:rsidRDefault="00F71554" w:rsidP="00B54421">
            <w:pPr>
              <w:rPr>
                <w:rFonts w:asciiTheme="minorHAnsi" w:hAnsiTheme="minorHAnsi" w:cstheme="minorHAnsi"/>
              </w:rPr>
            </w:pPr>
            <w:r w:rsidRPr="007A79A2">
              <w:rPr>
                <w:rFonts w:asciiTheme="minorHAnsi" w:hAnsiTheme="minorHAnsi" w:cstheme="minorHAnsi"/>
                <w:b/>
                <w:lang w:eastAsia="en-US"/>
              </w:rPr>
              <w:t>Role e.g. Tutor, Mentor etc</w:t>
            </w:r>
          </w:p>
        </w:tc>
        <w:tc>
          <w:tcPr>
            <w:tcW w:w="2707" w:type="pct"/>
            <w:gridSpan w:val="4"/>
            <w:vAlign w:val="center"/>
          </w:tcPr>
          <w:p w14:paraId="75D3E11D" w14:textId="77777777" w:rsidR="00F71554" w:rsidRPr="007A79A2" w:rsidRDefault="00F71554" w:rsidP="00B54421">
            <w:pPr>
              <w:rPr>
                <w:rFonts w:asciiTheme="minorHAnsi" w:hAnsiTheme="minorHAnsi" w:cstheme="minorHAnsi"/>
              </w:rPr>
            </w:pPr>
            <w:r w:rsidRPr="007A79A2">
              <w:rPr>
                <w:rFonts w:asciiTheme="minorHAnsi" w:hAnsiTheme="minorHAnsi" w:cstheme="minorHAnsi"/>
                <w:b/>
                <w:bCs/>
              </w:rPr>
              <w:t xml:space="preserve">Qualifications &amp; experience required: </w:t>
            </w:r>
          </w:p>
        </w:tc>
        <w:tc>
          <w:tcPr>
            <w:tcW w:w="1055" w:type="pct"/>
            <w:gridSpan w:val="2"/>
            <w:vAlign w:val="center"/>
          </w:tcPr>
          <w:p w14:paraId="5C6FFD02" w14:textId="77777777" w:rsidR="00F71554" w:rsidRPr="007A79A2" w:rsidRDefault="00F71554" w:rsidP="00B54421">
            <w:pPr>
              <w:rPr>
                <w:rFonts w:asciiTheme="minorHAnsi" w:hAnsiTheme="minorHAnsi" w:cstheme="minorHAnsi"/>
              </w:rPr>
            </w:pPr>
            <w:r w:rsidRPr="007A79A2">
              <w:rPr>
                <w:rFonts w:asciiTheme="minorHAnsi" w:hAnsiTheme="minorHAnsi" w:cstheme="minorHAnsi"/>
                <w:b/>
                <w:lang w:eastAsia="en-US"/>
              </w:rPr>
              <w:t># of Staff with this profile (WTEs)</w:t>
            </w:r>
          </w:p>
        </w:tc>
      </w:tr>
      <w:tr w:rsidR="00F71554" w:rsidRPr="007A79A2" w14:paraId="375E5918" w14:textId="77777777" w:rsidTr="00B54421">
        <w:tc>
          <w:tcPr>
            <w:tcW w:w="1238" w:type="pct"/>
            <w:vAlign w:val="center"/>
          </w:tcPr>
          <w:p w14:paraId="6C238738" w14:textId="77777777" w:rsidR="00F71554" w:rsidRPr="007A79A2" w:rsidRDefault="00F71554" w:rsidP="00B54421">
            <w:pPr>
              <w:rPr>
                <w:rFonts w:asciiTheme="minorHAnsi" w:hAnsiTheme="minorHAnsi" w:cstheme="minorHAnsi"/>
              </w:rPr>
            </w:pPr>
            <w:r w:rsidRPr="007A79A2">
              <w:rPr>
                <w:rFonts w:asciiTheme="minorHAnsi" w:hAnsiTheme="minorHAnsi" w:cstheme="minorHAnsi"/>
              </w:rPr>
              <w:t>Lecturer</w:t>
            </w:r>
          </w:p>
        </w:tc>
        <w:tc>
          <w:tcPr>
            <w:tcW w:w="2707" w:type="pct"/>
            <w:gridSpan w:val="4"/>
            <w:vAlign w:val="center"/>
          </w:tcPr>
          <w:p w14:paraId="2A075745" w14:textId="77777777" w:rsidR="00F71554" w:rsidRPr="007A79A2" w:rsidRDefault="00F71554" w:rsidP="00B54421">
            <w:pPr>
              <w:rPr>
                <w:rFonts w:asciiTheme="minorHAnsi" w:hAnsiTheme="minorHAnsi" w:cstheme="minorHAnsi"/>
                <w:b/>
                <w:bCs/>
              </w:rPr>
            </w:pPr>
            <w:r w:rsidRPr="00325408">
              <w:rPr>
                <w:rFonts w:asciiTheme="minorHAnsi" w:hAnsiTheme="minorHAnsi" w:cstheme="minorHAnsi"/>
                <w:szCs w:val="22"/>
              </w:rPr>
              <w:t xml:space="preserve">Lecturers expected to hold at minimum a Level 8 legal qualification, preferably with a professional legal qualification. It is an advantage to have completed the Certificate in Education, Learning and Development provided by Griffith College. </w:t>
            </w:r>
            <w:r w:rsidRPr="00325408">
              <w:rPr>
                <w:rFonts w:asciiTheme="minorHAnsi" w:hAnsiTheme="minorHAnsi" w:cstheme="minorHAnsi"/>
                <w:bCs/>
                <w:szCs w:val="22"/>
              </w:rPr>
              <w:t>Industry experience is beneficial but not a requirement.</w:t>
            </w:r>
          </w:p>
        </w:tc>
        <w:tc>
          <w:tcPr>
            <w:tcW w:w="1055" w:type="pct"/>
            <w:gridSpan w:val="2"/>
            <w:vAlign w:val="center"/>
          </w:tcPr>
          <w:p w14:paraId="76ABC981" w14:textId="77777777" w:rsidR="00F71554" w:rsidRPr="007A79A2" w:rsidRDefault="00F71554" w:rsidP="00B54421">
            <w:pPr>
              <w:jc w:val="center"/>
              <w:rPr>
                <w:rFonts w:asciiTheme="minorHAnsi" w:hAnsiTheme="minorHAnsi" w:cstheme="minorHAnsi"/>
              </w:rPr>
            </w:pPr>
            <w:r>
              <w:rPr>
                <w:rFonts w:asciiTheme="minorHAnsi" w:hAnsiTheme="minorHAnsi" w:cstheme="minorHAnsi"/>
              </w:rPr>
              <w:t>0.2 WTE</w:t>
            </w:r>
          </w:p>
        </w:tc>
      </w:tr>
    </w:tbl>
    <w:p w14:paraId="398CB1AE" w14:textId="77777777" w:rsidR="00F71554" w:rsidRPr="00FF3072" w:rsidRDefault="00F71554" w:rsidP="00F71554">
      <w:pPr>
        <w:rPr>
          <w:rFonts w:asciiTheme="minorHAnsi" w:hAnsiTheme="minorHAnsi" w:cstheme="minorHAnsi"/>
          <w:szCs w:val="22"/>
        </w:rPr>
      </w:pPr>
    </w:p>
    <w:tbl>
      <w:tblPr>
        <w:tblStyle w:val="TableGrid"/>
        <w:tblW w:w="0" w:type="auto"/>
        <w:tblInd w:w="0" w:type="dxa"/>
        <w:tblLook w:val="04A0" w:firstRow="1" w:lastRow="0" w:firstColumn="1" w:lastColumn="0" w:noHBand="0" w:noVBand="1"/>
      </w:tblPr>
      <w:tblGrid>
        <w:gridCol w:w="4504"/>
        <w:gridCol w:w="2253"/>
        <w:gridCol w:w="2253"/>
      </w:tblGrid>
      <w:tr w:rsidR="00F71554" w:rsidRPr="007A79A2" w14:paraId="5B120714" w14:textId="77777777" w:rsidTr="00B54421">
        <w:tc>
          <w:tcPr>
            <w:tcW w:w="9011" w:type="dxa"/>
            <w:gridSpan w:val="3"/>
            <w:shd w:val="clear" w:color="auto" w:fill="D9E2F3" w:themeFill="accent1" w:themeFillTint="33"/>
            <w:vAlign w:val="center"/>
          </w:tcPr>
          <w:p w14:paraId="65893062" w14:textId="77777777" w:rsidR="00F71554" w:rsidRPr="007A79A2" w:rsidRDefault="00F71554" w:rsidP="00B54421">
            <w:pPr>
              <w:rPr>
                <w:rFonts w:asciiTheme="minorHAnsi" w:hAnsiTheme="minorHAnsi" w:cstheme="minorHAnsi"/>
                <w:b/>
                <w:szCs w:val="22"/>
              </w:rPr>
            </w:pPr>
            <w:r w:rsidRPr="007A79A2">
              <w:rPr>
                <w:rFonts w:asciiTheme="minorHAnsi" w:hAnsiTheme="minorHAnsi" w:cstheme="minorHAnsi"/>
                <w:b/>
                <w:szCs w:val="22"/>
              </w:rPr>
              <w:t xml:space="preserve">Analysis of required learning effort </w:t>
            </w:r>
          </w:p>
        </w:tc>
      </w:tr>
      <w:tr w:rsidR="00F71554" w:rsidRPr="007A79A2" w14:paraId="6A56881B" w14:textId="77777777" w:rsidTr="00B54421">
        <w:trPr>
          <w:trHeight w:val="103"/>
        </w:trPr>
        <w:tc>
          <w:tcPr>
            <w:tcW w:w="4505" w:type="dxa"/>
            <w:shd w:val="clear" w:color="auto" w:fill="D9E2F3" w:themeFill="accent1" w:themeFillTint="33"/>
            <w:vAlign w:val="center"/>
          </w:tcPr>
          <w:p w14:paraId="5DA65E2F" w14:textId="77777777" w:rsidR="00F71554" w:rsidRPr="007A79A2" w:rsidRDefault="00F71554" w:rsidP="00B54421">
            <w:pPr>
              <w:rPr>
                <w:rFonts w:asciiTheme="minorHAnsi" w:hAnsiTheme="minorHAnsi" w:cstheme="minorHAnsi"/>
                <w:szCs w:val="22"/>
              </w:rPr>
            </w:pPr>
            <w:r w:rsidRPr="007A79A2">
              <w:rPr>
                <w:rFonts w:asciiTheme="minorHAnsi" w:hAnsiTheme="minorHAnsi" w:cstheme="minorHAnsi"/>
                <w:b/>
                <w:szCs w:val="22"/>
              </w:rPr>
              <w:t>*Effort while in contact with staff</w:t>
            </w:r>
          </w:p>
        </w:tc>
        <w:tc>
          <w:tcPr>
            <w:tcW w:w="2253" w:type="dxa"/>
            <w:shd w:val="clear" w:color="auto" w:fill="D9E2F3" w:themeFill="accent1" w:themeFillTint="33"/>
            <w:vAlign w:val="center"/>
          </w:tcPr>
          <w:p w14:paraId="52781BB2" w14:textId="77777777" w:rsidR="00F71554" w:rsidRPr="007A79A2" w:rsidRDefault="00F71554" w:rsidP="00B54421">
            <w:pPr>
              <w:jc w:val="center"/>
              <w:rPr>
                <w:rFonts w:asciiTheme="minorHAnsi" w:hAnsiTheme="minorHAnsi" w:cstheme="minorHAnsi"/>
                <w:b/>
                <w:szCs w:val="22"/>
              </w:rPr>
            </w:pPr>
            <w:r w:rsidRPr="007A79A2">
              <w:rPr>
                <w:rFonts w:asciiTheme="minorHAnsi" w:hAnsiTheme="minorHAnsi" w:cstheme="minorHAnsi"/>
                <w:b/>
                <w:szCs w:val="22"/>
              </w:rPr>
              <w:t>Minimum ratio teacher / learner</w:t>
            </w:r>
          </w:p>
        </w:tc>
        <w:tc>
          <w:tcPr>
            <w:tcW w:w="2253" w:type="dxa"/>
            <w:shd w:val="clear" w:color="auto" w:fill="D9E2F3" w:themeFill="accent1" w:themeFillTint="33"/>
            <w:vAlign w:val="center"/>
          </w:tcPr>
          <w:p w14:paraId="64CB67B5" w14:textId="77777777" w:rsidR="00F71554" w:rsidRPr="007A79A2" w:rsidRDefault="00F71554" w:rsidP="00B54421">
            <w:pPr>
              <w:jc w:val="center"/>
              <w:rPr>
                <w:rFonts w:asciiTheme="minorHAnsi" w:hAnsiTheme="minorHAnsi" w:cstheme="minorHAnsi"/>
                <w:szCs w:val="22"/>
              </w:rPr>
            </w:pPr>
            <w:r w:rsidRPr="007A79A2">
              <w:rPr>
                <w:rFonts w:asciiTheme="minorHAnsi" w:hAnsiTheme="minorHAnsi" w:cstheme="minorHAnsi"/>
                <w:b/>
                <w:szCs w:val="22"/>
              </w:rPr>
              <w:t>Hours</w:t>
            </w:r>
          </w:p>
        </w:tc>
      </w:tr>
      <w:tr w:rsidR="00F71554" w:rsidRPr="007A79A2" w14:paraId="18245BB3" w14:textId="77777777" w:rsidTr="00B54421">
        <w:trPr>
          <w:trHeight w:val="70"/>
        </w:trPr>
        <w:tc>
          <w:tcPr>
            <w:tcW w:w="4505" w:type="dxa"/>
            <w:shd w:val="clear" w:color="auto" w:fill="D9E2F3" w:themeFill="accent1" w:themeFillTint="33"/>
            <w:vAlign w:val="center"/>
          </w:tcPr>
          <w:p w14:paraId="14B06F98" w14:textId="77777777" w:rsidR="00F71554" w:rsidRPr="007A79A2" w:rsidRDefault="00F71554" w:rsidP="00B54421">
            <w:pPr>
              <w:rPr>
                <w:rFonts w:asciiTheme="minorHAnsi" w:hAnsiTheme="minorHAnsi" w:cstheme="minorHAnsi"/>
                <w:szCs w:val="22"/>
              </w:rPr>
            </w:pPr>
            <w:r w:rsidRPr="007A79A2">
              <w:rPr>
                <w:rFonts w:asciiTheme="minorHAnsi" w:hAnsiTheme="minorHAnsi" w:cstheme="minorHAnsi"/>
                <w:szCs w:val="22"/>
              </w:rPr>
              <w:tab/>
              <w:t>Classroom and demonstrations</w:t>
            </w:r>
          </w:p>
        </w:tc>
        <w:tc>
          <w:tcPr>
            <w:tcW w:w="2253" w:type="dxa"/>
            <w:vAlign w:val="center"/>
          </w:tcPr>
          <w:p w14:paraId="4FB5D064" w14:textId="77777777" w:rsidR="00F71554" w:rsidRPr="007A79A2" w:rsidRDefault="00F71554" w:rsidP="00B54421">
            <w:pPr>
              <w:jc w:val="center"/>
              <w:rPr>
                <w:rFonts w:asciiTheme="minorHAnsi" w:hAnsiTheme="minorHAnsi" w:cstheme="minorHAnsi"/>
                <w:szCs w:val="22"/>
              </w:rPr>
            </w:pPr>
            <w:r w:rsidRPr="007A79A2">
              <w:rPr>
                <w:rFonts w:asciiTheme="minorHAnsi" w:hAnsiTheme="minorHAnsi" w:cstheme="minorHAnsi"/>
                <w:szCs w:val="22"/>
              </w:rPr>
              <w:t>1:80</w:t>
            </w:r>
          </w:p>
        </w:tc>
        <w:tc>
          <w:tcPr>
            <w:tcW w:w="2253" w:type="dxa"/>
            <w:vAlign w:val="center"/>
          </w:tcPr>
          <w:p w14:paraId="0D0872AF" w14:textId="77777777" w:rsidR="00F71554" w:rsidRPr="007A79A2" w:rsidRDefault="00F71554" w:rsidP="00B54421">
            <w:pPr>
              <w:jc w:val="center"/>
              <w:rPr>
                <w:rFonts w:asciiTheme="minorHAnsi" w:hAnsiTheme="minorHAnsi" w:cstheme="minorHAnsi"/>
                <w:szCs w:val="22"/>
              </w:rPr>
            </w:pPr>
            <w:r w:rsidRPr="007A79A2">
              <w:rPr>
                <w:rFonts w:asciiTheme="minorHAnsi" w:hAnsiTheme="minorHAnsi" w:cstheme="minorHAnsi"/>
                <w:szCs w:val="22"/>
              </w:rPr>
              <w:t>21</w:t>
            </w:r>
          </w:p>
        </w:tc>
      </w:tr>
      <w:tr w:rsidR="00F71554" w:rsidRPr="007A79A2" w14:paraId="3019C431" w14:textId="77777777" w:rsidTr="00B54421">
        <w:tc>
          <w:tcPr>
            <w:tcW w:w="4505" w:type="dxa"/>
            <w:shd w:val="clear" w:color="auto" w:fill="D9E2F3" w:themeFill="accent1" w:themeFillTint="33"/>
            <w:vAlign w:val="center"/>
          </w:tcPr>
          <w:p w14:paraId="45DE9760" w14:textId="77777777" w:rsidR="00F71554" w:rsidRPr="007A79A2" w:rsidRDefault="00F71554" w:rsidP="00B54421">
            <w:pPr>
              <w:pStyle w:val="ListParagraph"/>
              <w:rPr>
                <w:rFonts w:asciiTheme="minorHAnsi" w:hAnsiTheme="minorHAnsi" w:cstheme="minorHAnsi"/>
                <w:szCs w:val="22"/>
              </w:rPr>
            </w:pPr>
            <w:r w:rsidRPr="007A79A2">
              <w:rPr>
                <w:rFonts w:asciiTheme="minorHAnsi" w:hAnsiTheme="minorHAnsi" w:cstheme="minorHAnsi"/>
                <w:szCs w:val="22"/>
              </w:rPr>
              <w:t>Mentoring and small-group teaching</w:t>
            </w:r>
          </w:p>
        </w:tc>
        <w:tc>
          <w:tcPr>
            <w:tcW w:w="2253" w:type="dxa"/>
            <w:vAlign w:val="center"/>
          </w:tcPr>
          <w:p w14:paraId="0762244E" w14:textId="77777777" w:rsidR="00F71554" w:rsidRPr="007A79A2" w:rsidRDefault="00F71554" w:rsidP="00B54421">
            <w:pPr>
              <w:jc w:val="center"/>
              <w:rPr>
                <w:rFonts w:asciiTheme="minorHAnsi" w:hAnsiTheme="minorHAnsi" w:cstheme="minorHAnsi"/>
                <w:szCs w:val="22"/>
              </w:rPr>
            </w:pPr>
            <w:r>
              <w:rPr>
                <w:rFonts w:asciiTheme="minorHAnsi" w:hAnsiTheme="minorHAnsi" w:cstheme="minorHAnsi"/>
                <w:szCs w:val="22"/>
              </w:rPr>
              <w:t>-</w:t>
            </w:r>
          </w:p>
        </w:tc>
        <w:tc>
          <w:tcPr>
            <w:tcW w:w="2253" w:type="dxa"/>
            <w:vAlign w:val="center"/>
          </w:tcPr>
          <w:p w14:paraId="5B17836D" w14:textId="77777777" w:rsidR="00F71554" w:rsidRPr="007A79A2" w:rsidRDefault="00F71554" w:rsidP="00B54421">
            <w:pPr>
              <w:jc w:val="center"/>
              <w:rPr>
                <w:rFonts w:asciiTheme="minorHAnsi" w:hAnsiTheme="minorHAnsi" w:cstheme="minorHAnsi"/>
                <w:szCs w:val="22"/>
              </w:rPr>
            </w:pPr>
            <w:r>
              <w:rPr>
                <w:rFonts w:asciiTheme="minorHAnsi" w:hAnsiTheme="minorHAnsi" w:cstheme="minorHAnsi"/>
                <w:szCs w:val="22"/>
              </w:rPr>
              <w:t>-</w:t>
            </w:r>
          </w:p>
        </w:tc>
      </w:tr>
      <w:tr w:rsidR="00F71554" w:rsidRPr="007A79A2" w14:paraId="035D2338" w14:textId="77777777" w:rsidTr="00B54421">
        <w:tc>
          <w:tcPr>
            <w:tcW w:w="4505" w:type="dxa"/>
            <w:shd w:val="clear" w:color="auto" w:fill="D9E2F3" w:themeFill="accent1" w:themeFillTint="33"/>
            <w:vAlign w:val="center"/>
          </w:tcPr>
          <w:p w14:paraId="67884C3D" w14:textId="77777777" w:rsidR="00F71554" w:rsidRPr="007A79A2" w:rsidRDefault="00F71554" w:rsidP="00B54421">
            <w:pPr>
              <w:rPr>
                <w:rFonts w:asciiTheme="minorHAnsi" w:hAnsiTheme="minorHAnsi" w:cstheme="minorHAnsi"/>
                <w:szCs w:val="22"/>
              </w:rPr>
            </w:pPr>
            <w:r w:rsidRPr="007A79A2">
              <w:rPr>
                <w:rFonts w:asciiTheme="minorHAnsi" w:hAnsiTheme="minorHAnsi" w:cstheme="minorHAnsi"/>
                <w:szCs w:val="22"/>
              </w:rPr>
              <w:tab/>
              <w:t>Other (specify) – workshop</w:t>
            </w:r>
          </w:p>
        </w:tc>
        <w:tc>
          <w:tcPr>
            <w:tcW w:w="2253" w:type="dxa"/>
            <w:vAlign w:val="center"/>
          </w:tcPr>
          <w:p w14:paraId="72E1A217" w14:textId="77777777" w:rsidR="00F71554" w:rsidRPr="007A79A2" w:rsidRDefault="00F71554" w:rsidP="00B54421">
            <w:pPr>
              <w:jc w:val="center"/>
              <w:rPr>
                <w:rFonts w:asciiTheme="minorHAnsi" w:hAnsiTheme="minorHAnsi" w:cstheme="minorHAnsi"/>
                <w:szCs w:val="22"/>
              </w:rPr>
            </w:pPr>
            <w:r>
              <w:rPr>
                <w:rFonts w:asciiTheme="minorHAnsi" w:hAnsiTheme="minorHAnsi" w:cstheme="minorHAnsi"/>
                <w:szCs w:val="22"/>
              </w:rPr>
              <w:t>-</w:t>
            </w:r>
          </w:p>
        </w:tc>
        <w:tc>
          <w:tcPr>
            <w:tcW w:w="2253" w:type="dxa"/>
            <w:vAlign w:val="center"/>
          </w:tcPr>
          <w:p w14:paraId="551435B4" w14:textId="77777777" w:rsidR="00F71554" w:rsidRPr="007A79A2" w:rsidRDefault="00F71554" w:rsidP="00B54421">
            <w:pPr>
              <w:jc w:val="center"/>
              <w:rPr>
                <w:rFonts w:asciiTheme="minorHAnsi" w:hAnsiTheme="minorHAnsi" w:cstheme="minorHAnsi"/>
                <w:szCs w:val="22"/>
              </w:rPr>
            </w:pPr>
            <w:r>
              <w:rPr>
                <w:rFonts w:asciiTheme="minorHAnsi" w:hAnsiTheme="minorHAnsi" w:cstheme="minorHAnsi"/>
                <w:szCs w:val="22"/>
              </w:rPr>
              <w:t>-</w:t>
            </w:r>
          </w:p>
        </w:tc>
      </w:tr>
      <w:tr w:rsidR="00F71554" w:rsidRPr="007A79A2" w14:paraId="17E0B855" w14:textId="77777777" w:rsidTr="00B54421">
        <w:tc>
          <w:tcPr>
            <w:tcW w:w="9011" w:type="dxa"/>
            <w:gridSpan w:val="3"/>
            <w:shd w:val="clear" w:color="auto" w:fill="D9E2F3" w:themeFill="accent1" w:themeFillTint="33"/>
            <w:vAlign w:val="center"/>
          </w:tcPr>
          <w:p w14:paraId="271CD33E" w14:textId="77777777" w:rsidR="00F71554" w:rsidRPr="007A79A2" w:rsidRDefault="00F71554" w:rsidP="00B54421">
            <w:pPr>
              <w:rPr>
                <w:rFonts w:asciiTheme="minorHAnsi" w:hAnsiTheme="minorHAnsi" w:cstheme="minorHAnsi"/>
                <w:szCs w:val="22"/>
              </w:rPr>
            </w:pPr>
            <w:r w:rsidRPr="007A79A2">
              <w:rPr>
                <w:rFonts w:asciiTheme="minorHAnsi" w:hAnsiTheme="minorHAnsi" w:cstheme="minorHAnsi"/>
                <w:b/>
                <w:szCs w:val="22"/>
              </w:rPr>
              <w:t>Independent Learning</w:t>
            </w:r>
          </w:p>
        </w:tc>
      </w:tr>
      <w:tr w:rsidR="00F71554" w:rsidRPr="007A79A2" w14:paraId="206148EB" w14:textId="77777777" w:rsidTr="00B54421">
        <w:tc>
          <w:tcPr>
            <w:tcW w:w="6758" w:type="dxa"/>
            <w:gridSpan w:val="2"/>
            <w:shd w:val="clear" w:color="auto" w:fill="D9E2F3" w:themeFill="accent1" w:themeFillTint="33"/>
            <w:vAlign w:val="center"/>
          </w:tcPr>
          <w:p w14:paraId="230C614F" w14:textId="77777777" w:rsidR="00F71554" w:rsidRPr="007A79A2" w:rsidRDefault="00F71554" w:rsidP="00B54421">
            <w:pPr>
              <w:rPr>
                <w:rFonts w:asciiTheme="minorHAnsi" w:hAnsiTheme="minorHAnsi" w:cstheme="minorHAnsi"/>
                <w:szCs w:val="22"/>
              </w:rPr>
            </w:pPr>
            <w:r w:rsidRPr="007A79A2">
              <w:rPr>
                <w:rFonts w:asciiTheme="minorHAnsi" w:hAnsiTheme="minorHAnsi" w:cstheme="minorHAnsi"/>
                <w:szCs w:val="22"/>
              </w:rPr>
              <w:tab/>
              <w:t>Directed e-learning (hours)</w:t>
            </w:r>
          </w:p>
        </w:tc>
        <w:tc>
          <w:tcPr>
            <w:tcW w:w="2253" w:type="dxa"/>
            <w:vAlign w:val="center"/>
          </w:tcPr>
          <w:p w14:paraId="2CFDD1AB" w14:textId="77777777" w:rsidR="00F71554" w:rsidRPr="007A79A2" w:rsidRDefault="00F71554" w:rsidP="00B54421">
            <w:pPr>
              <w:jc w:val="center"/>
              <w:rPr>
                <w:rFonts w:asciiTheme="minorHAnsi" w:hAnsiTheme="minorHAnsi" w:cstheme="minorHAnsi"/>
                <w:szCs w:val="22"/>
              </w:rPr>
            </w:pPr>
            <w:r>
              <w:rPr>
                <w:rFonts w:asciiTheme="minorHAnsi" w:hAnsiTheme="minorHAnsi" w:cstheme="minorHAnsi"/>
                <w:szCs w:val="22"/>
              </w:rPr>
              <w:t>-</w:t>
            </w:r>
          </w:p>
        </w:tc>
      </w:tr>
      <w:tr w:rsidR="00F71554" w:rsidRPr="007A79A2" w14:paraId="4ABCCD18" w14:textId="77777777" w:rsidTr="00B54421">
        <w:tc>
          <w:tcPr>
            <w:tcW w:w="6758" w:type="dxa"/>
            <w:gridSpan w:val="2"/>
            <w:shd w:val="clear" w:color="auto" w:fill="D9E2F3" w:themeFill="accent1" w:themeFillTint="33"/>
            <w:vAlign w:val="center"/>
          </w:tcPr>
          <w:p w14:paraId="4F3710E6" w14:textId="77777777" w:rsidR="00F71554" w:rsidRPr="007A79A2" w:rsidRDefault="00F71554" w:rsidP="00B54421">
            <w:pPr>
              <w:rPr>
                <w:rFonts w:asciiTheme="minorHAnsi" w:hAnsiTheme="minorHAnsi" w:cstheme="minorHAnsi"/>
                <w:szCs w:val="22"/>
              </w:rPr>
            </w:pPr>
            <w:r w:rsidRPr="007A79A2">
              <w:rPr>
                <w:rFonts w:asciiTheme="minorHAnsi" w:hAnsiTheme="minorHAnsi" w:cstheme="minorHAnsi"/>
                <w:szCs w:val="22"/>
              </w:rPr>
              <w:tab/>
              <w:t>Independent Learning (hours)</w:t>
            </w:r>
          </w:p>
        </w:tc>
        <w:tc>
          <w:tcPr>
            <w:tcW w:w="2253" w:type="dxa"/>
            <w:vAlign w:val="center"/>
          </w:tcPr>
          <w:p w14:paraId="0E9023DF" w14:textId="77777777" w:rsidR="00F71554" w:rsidRPr="007A79A2" w:rsidRDefault="00F71554" w:rsidP="00B54421">
            <w:pPr>
              <w:jc w:val="center"/>
              <w:rPr>
                <w:rFonts w:asciiTheme="minorHAnsi" w:hAnsiTheme="minorHAnsi" w:cstheme="minorHAnsi"/>
                <w:szCs w:val="22"/>
              </w:rPr>
            </w:pPr>
            <w:r w:rsidRPr="007A79A2">
              <w:rPr>
                <w:rFonts w:asciiTheme="minorHAnsi" w:hAnsiTheme="minorHAnsi" w:cstheme="minorHAnsi"/>
                <w:szCs w:val="22"/>
              </w:rPr>
              <w:t>104</w:t>
            </w:r>
          </w:p>
        </w:tc>
      </w:tr>
      <w:tr w:rsidR="00F71554" w:rsidRPr="007A79A2" w14:paraId="334AF855" w14:textId="77777777" w:rsidTr="00B54421">
        <w:tc>
          <w:tcPr>
            <w:tcW w:w="6758" w:type="dxa"/>
            <w:gridSpan w:val="2"/>
            <w:shd w:val="clear" w:color="auto" w:fill="D9E2F3" w:themeFill="accent1" w:themeFillTint="33"/>
            <w:vAlign w:val="center"/>
          </w:tcPr>
          <w:p w14:paraId="4814FC91" w14:textId="77777777" w:rsidR="00F71554" w:rsidRPr="007A79A2" w:rsidRDefault="00F71554" w:rsidP="00B54421">
            <w:pPr>
              <w:rPr>
                <w:rFonts w:asciiTheme="minorHAnsi" w:hAnsiTheme="minorHAnsi" w:cstheme="minorHAnsi"/>
                <w:szCs w:val="22"/>
              </w:rPr>
            </w:pPr>
            <w:r w:rsidRPr="007A79A2">
              <w:rPr>
                <w:rFonts w:asciiTheme="minorHAnsi" w:hAnsiTheme="minorHAnsi" w:cstheme="minorHAnsi"/>
                <w:szCs w:val="22"/>
              </w:rPr>
              <w:lastRenderedPageBreak/>
              <w:tab/>
              <w:t>Other hours (specify)</w:t>
            </w:r>
          </w:p>
        </w:tc>
        <w:tc>
          <w:tcPr>
            <w:tcW w:w="2253" w:type="dxa"/>
            <w:vAlign w:val="center"/>
          </w:tcPr>
          <w:p w14:paraId="682A2143" w14:textId="77777777" w:rsidR="00F71554" w:rsidRPr="007A79A2" w:rsidRDefault="00F71554" w:rsidP="00B54421">
            <w:pPr>
              <w:jc w:val="center"/>
              <w:rPr>
                <w:rFonts w:asciiTheme="minorHAnsi" w:hAnsiTheme="minorHAnsi" w:cstheme="minorHAnsi"/>
                <w:szCs w:val="22"/>
              </w:rPr>
            </w:pPr>
            <w:r>
              <w:rPr>
                <w:rFonts w:asciiTheme="minorHAnsi" w:hAnsiTheme="minorHAnsi" w:cstheme="minorHAnsi"/>
                <w:szCs w:val="22"/>
              </w:rPr>
              <w:t>-</w:t>
            </w:r>
          </w:p>
        </w:tc>
      </w:tr>
      <w:tr w:rsidR="00F71554" w:rsidRPr="007A79A2" w14:paraId="12966028" w14:textId="77777777" w:rsidTr="00B54421">
        <w:tc>
          <w:tcPr>
            <w:tcW w:w="6758" w:type="dxa"/>
            <w:gridSpan w:val="2"/>
            <w:shd w:val="clear" w:color="auto" w:fill="D9E2F3" w:themeFill="accent1" w:themeFillTint="33"/>
            <w:vAlign w:val="center"/>
          </w:tcPr>
          <w:p w14:paraId="5E25AB6B" w14:textId="77777777" w:rsidR="00F71554" w:rsidRPr="007A79A2" w:rsidRDefault="00F71554" w:rsidP="00B54421">
            <w:pPr>
              <w:rPr>
                <w:rFonts w:asciiTheme="minorHAnsi" w:hAnsiTheme="minorHAnsi" w:cstheme="minorHAnsi"/>
                <w:szCs w:val="22"/>
              </w:rPr>
            </w:pPr>
            <w:r w:rsidRPr="007A79A2">
              <w:rPr>
                <w:rFonts w:asciiTheme="minorHAnsi" w:hAnsiTheme="minorHAnsi" w:cstheme="minorHAnsi"/>
                <w:szCs w:val="22"/>
              </w:rPr>
              <w:tab/>
              <w:t xml:space="preserve">Work-based learning hours of learning effort </w:t>
            </w:r>
          </w:p>
        </w:tc>
        <w:tc>
          <w:tcPr>
            <w:tcW w:w="2253" w:type="dxa"/>
            <w:vAlign w:val="center"/>
          </w:tcPr>
          <w:p w14:paraId="662E2034" w14:textId="77777777" w:rsidR="00F71554" w:rsidRPr="007A79A2" w:rsidRDefault="00F71554" w:rsidP="00B54421">
            <w:pPr>
              <w:jc w:val="center"/>
              <w:rPr>
                <w:rFonts w:asciiTheme="minorHAnsi" w:hAnsiTheme="minorHAnsi" w:cstheme="minorHAnsi"/>
                <w:szCs w:val="22"/>
              </w:rPr>
            </w:pPr>
            <w:r>
              <w:rPr>
                <w:rFonts w:asciiTheme="minorHAnsi" w:hAnsiTheme="minorHAnsi" w:cstheme="minorHAnsi"/>
                <w:szCs w:val="22"/>
              </w:rPr>
              <w:t>-</w:t>
            </w:r>
          </w:p>
        </w:tc>
      </w:tr>
      <w:tr w:rsidR="00F71554" w:rsidRPr="007A79A2" w14:paraId="3A0A5577" w14:textId="77777777" w:rsidTr="00B54421">
        <w:trPr>
          <w:trHeight w:val="221"/>
        </w:trPr>
        <w:tc>
          <w:tcPr>
            <w:tcW w:w="6758" w:type="dxa"/>
            <w:gridSpan w:val="2"/>
            <w:shd w:val="clear" w:color="auto" w:fill="D9E2F3" w:themeFill="accent1" w:themeFillTint="33"/>
            <w:vAlign w:val="center"/>
          </w:tcPr>
          <w:p w14:paraId="2DF39C46" w14:textId="77777777" w:rsidR="00F71554" w:rsidRPr="007A79A2" w:rsidRDefault="00F71554" w:rsidP="00B54421">
            <w:pPr>
              <w:rPr>
                <w:rFonts w:asciiTheme="minorHAnsi" w:hAnsiTheme="minorHAnsi" w:cstheme="minorHAnsi"/>
                <w:szCs w:val="22"/>
              </w:rPr>
            </w:pPr>
            <w:r w:rsidRPr="007A79A2">
              <w:rPr>
                <w:rFonts w:asciiTheme="minorHAnsi" w:hAnsiTheme="minorHAnsi" w:cstheme="minorHAnsi"/>
                <w:b/>
                <w:szCs w:val="22"/>
              </w:rPr>
              <w:t>Total Effort (hours)</w:t>
            </w:r>
          </w:p>
        </w:tc>
        <w:tc>
          <w:tcPr>
            <w:tcW w:w="2253" w:type="dxa"/>
            <w:vAlign w:val="center"/>
          </w:tcPr>
          <w:p w14:paraId="75BEF6AE" w14:textId="77777777" w:rsidR="00F71554" w:rsidRPr="007A79A2" w:rsidRDefault="00F71554" w:rsidP="00B54421">
            <w:pPr>
              <w:jc w:val="center"/>
              <w:rPr>
                <w:rFonts w:asciiTheme="minorHAnsi" w:hAnsiTheme="minorHAnsi" w:cstheme="minorHAnsi"/>
                <w:szCs w:val="22"/>
              </w:rPr>
            </w:pPr>
            <w:r w:rsidRPr="007A79A2">
              <w:rPr>
                <w:rFonts w:asciiTheme="minorHAnsi" w:hAnsiTheme="minorHAnsi" w:cstheme="minorHAnsi"/>
                <w:szCs w:val="22"/>
              </w:rPr>
              <w:t>125</w:t>
            </w:r>
          </w:p>
        </w:tc>
      </w:tr>
    </w:tbl>
    <w:p w14:paraId="397D9192" w14:textId="77777777" w:rsidR="00F71554" w:rsidRDefault="00F71554" w:rsidP="00F71554">
      <w:pPr>
        <w:rPr>
          <w:rFonts w:asciiTheme="minorHAnsi" w:hAnsiTheme="minorHAnsi" w:cstheme="minorHAnsi"/>
          <w:szCs w:val="22"/>
        </w:rPr>
      </w:pPr>
    </w:p>
    <w:p w14:paraId="214651A0" w14:textId="77777777" w:rsidR="00F71554" w:rsidRDefault="00F71554" w:rsidP="00F71554">
      <w:pPr>
        <w:suppressAutoHyphens w:val="0"/>
        <w:spacing w:after="160" w:line="259" w:lineRule="auto"/>
        <w:rPr>
          <w:rFonts w:asciiTheme="minorHAnsi" w:hAnsiTheme="minorHAnsi" w:cstheme="minorHAnsi"/>
          <w:szCs w:val="22"/>
        </w:rPr>
      </w:pPr>
      <w:r>
        <w:rPr>
          <w:rFonts w:asciiTheme="minorHAnsi" w:hAnsiTheme="minorHAnsi" w:cstheme="minorHAnsi"/>
          <w:szCs w:val="22"/>
        </w:rPr>
        <w:br w:type="page"/>
      </w:r>
    </w:p>
    <w:tbl>
      <w:tblPr>
        <w:tblStyle w:val="TableGrid"/>
        <w:tblW w:w="0" w:type="auto"/>
        <w:tblInd w:w="0" w:type="dxa"/>
        <w:tblLook w:val="04A0" w:firstRow="1" w:lastRow="0" w:firstColumn="1" w:lastColumn="0" w:noHBand="0" w:noVBand="1"/>
      </w:tblPr>
      <w:tblGrid>
        <w:gridCol w:w="1910"/>
        <w:gridCol w:w="1296"/>
        <w:gridCol w:w="1253"/>
        <w:gridCol w:w="1673"/>
        <w:gridCol w:w="1458"/>
        <w:gridCol w:w="1420"/>
      </w:tblGrid>
      <w:tr w:rsidR="00F71554" w:rsidRPr="00B870F9" w14:paraId="66FB6001" w14:textId="77777777" w:rsidTr="00B54421">
        <w:tc>
          <w:tcPr>
            <w:tcW w:w="9010" w:type="dxa"/>
            <w:gridSpan w:val="6"/>
            <w:shd w:val="clear" w:color="auto" w:fill="D9E2F3" w:themeFill="accent1" w:themeFillTint="33"/>
          </w:tcPr>
          <w:p w14:paraId="21B63AD2" w14:textId="77777777" w:rsidR="00F71554" w:rsidRPr="00B870F9" w:rsidRDefault="00F71554" w:rsidP="00B54421">
            <w:pPr>
              <w:jc w:val="center"/>
              <w:rPr>
                <w:b/>
                <w:bCs/>
                <w:szCs w:val="22"/>
              </w:rPr>
            </w:pPr>
            <w:r w:rsidRPr="00B870F9">
              <w:rPr>
                <w:b/>
                <w:bCs/>
                <w:szCs w:val="22"/>
              </w:rPr>
              <w:lastRenderedPageBreak/>
              <w:t>Allocation of Marks</w:t>
            </w:r>
          </w:p>
        </w:tc>
      </w:tr>
      <w:tr w:rsidR="00F71554" w:rsidRPr="00B870F9" w14:paraId="1CE3BC8C" w14:textId="77777777" w:rsidTr="00B54421">
        <w:tc>
          <w:tcPr>
            <w:tcW w:w="1935" w:type="dxa"/>
            <w:shd w:val="clear" w:color="auto" w:fill="D9E2F3" w:themeFill="accent1" w:themeFillTint="33"/>
          </w:tcPr>
          <w:p w14:paraId="549EFEC6" w14:textId="77777777" w:rsidR="00F71554" w:rsidRPr="00B870F9" w:rsidRDefault="00F71554" w:rsidP="00B54421">
            <w:pPr>
              <w:rPr>
                <w:b/>
                <w:bCs/>
                <w:szCs w:val="22"/>
              </w:rPr>
            </w:pPr>
          </w:p>
        </w:tc>
        <w:tc>
          <w:tcPr>
            <w:tcW w:w="1198" w:type="dxa"/>
            <w:shd w:val="clear" w:color="auto" w:fill="D9E2F3" w:themeFill="accent1" w:themeFillTint="33"/>
            <w:vAlign w:val="center"/>
          </w:tcPr>
          <w:p w14:paraId="72A0C7CB" w14:textId="77777777" w:rsidR="00F71554" w:rsidRPr="00B870F9" w:rsidRDefault="00F71554" w:rsidP="00B54421">
            <w:pPr>
              <w:jc w:val="center"/>
              <w:rPr>
                <w:b/>
                <w:bCs/>
                <w:szCs w:val="22"/>
              </w:rPr>
            </w:pPr>
            <w:r w:rsidRPr="00B870F9">
              <w:rPr>
                <w:b/>
                <w:bCs/>
                <w:szCs w:val="22"/>
              </w:rPr>
              <w:t>Continuous Assessment</w:t>
            </w:r>
          </w:p>
        </w:tc>
        <w:tc>
          <w:tcPr>
            <w:tcW w:w="1254" w:type="dxa"/>
            <w:shd w:val="clear" w:color="auto" w:fill="D9E2F3" w:themeFill="accent1" w:themeFillTint="33"/>
            <w:vAlign w:val="center"/>
          </w:tcPr>
          <w:p w14:paraId="1D1DBD18" w14:textId="77777777" w:rsidR="00F71554" w:rsidRPr="00B870F9" w:rsidRDefault="00F71554" w:rsidP="00B54421">
            <w:pPr>
              <w:jc w:val="center"/>
              <w:rPr>
                <w:b/>
                <w:bCs/>
                <w:szCs w:val="22"/>
              </w:rPr>
            </w:pPr>
            <w:r w:rsidRPr="00B870F9">
              <w:rPr>
                <w:b/>
                <w:bCs/>
                <w:szCs w:val="22"/>
              </w:rPr>
              <w:t>Supervised Project</w:t>
            </w:r>
          </w:p>
        </w:tc>
        <w:tc>
          <w:tcPr>
            <w:tcW w:w="1698" w:type="dxa"/>
            <w:shd w:val="clear" w:color="auto" w:fill="D9E2F3" w:themeFill="accent1" w:themeFillTint="33"/>
            <w:vAlign w:val="center"/>
          </w:tcPr>
          <w:p w14:paraId="18EC0F6C" w14:textId="77777777" w:rsidR="00F71554" w:rsidRPr="00B870F9" w:rsidRDefault="00F71554" w:rsidP="00B54421">
            <w:pPr>
              <w:jc w:val="center"/>
              <w:rPr>
                <w:b/>
                <w:bCs/>
                <w:szCs w:val="22"/>
              </w:rPr>
            </w:pPr>
            <w:r w:rsidRPr="00B870F9">
              <w:rPr>
                <w:b/>
                <w:bCs/>
                <w:szCs w:val="22"/>
              </w:rPr>
              <w:t>Proctored Practical Exam.</w:t>
            </w:r>
          </w:p>
        </w:tc>
        <w:tc>
          <w:tcPr>
            <w:tcW w:w="1473" w:type="dxa"/>
            <w:shd w:val="clear" w:color="auto" w:fill="D9E2F3" w:themeFill="accent1" w:themeFillTint="33"/>
            <w:vAlign w:val="center"/>
          </w:tcPr>
          <w:p w14:paraId="33186393" w14:textId="77777777" w:rsidR="00F71554" w:rsidRPr="00B870F9" w:rsidRDefault="00F71554" w:rsidP="00B54421">
            <w:pPr>
              <w:jc w:val="center"/>
              <w:rPr>
                <w:b/>
                <w:bCs/>
                <w:szCs w:val="22"/>
              </w:rPr>
            </w:pPr>
            <w:r w:rsidRPr="00B870F9">
              <w:rPr>
                <w:b/>
                <w:bCs/>
                <w:szCs w:val="22"/>
              </w:rPr>
              <w:t>Proctored Written Exam</w:t>
            </w:r>
          </w:p>
        </w:tc>
        <w:tc>
          <w:tcPr>
            <w:tcW w:w="1452" w:type="dxa"/>
            <w:shd w:val="clear" w:color="auto" w:fill="D9E2F3" w:themeFill="accent1" w:themeFillTint="33"/>
            <w:vAlign w:val="center"/>
          </w:tcPr>
          <w:p w14:paraId="49B0C0DD" w14:textId="77777777" w:rsidR="00F71554" w:rsidRPr="00B870F9" w:rsidRDefault="00F71554" w:rsidP="00B54421">
            <w:pPr>
              <w:jc w:val="center"/>
              <w:rPr>
                <w:b/>
                <w:bCs/>
                <w:szCs w:val="22"/>
              </w:rPr>
            </w:pPr>
            <w:r w:rsidRPr="00B870F9">
              <w:rPr>
                <w:b/>
                <w:bCs/>
                <w:szCs w:val="22"/>
              </w:rPr>
              <w:t>Total</w:t>
            </w:r>
          </w:p>
        </w:tc>
      </w:tr>
      <w:tr w:rsidR="00F71554" w:rsidRPr="00B870F9" w14:paraId="7B0FE25C" w14:textId="77777777" w:rsidTr="00B54421">
        <w:tc>
          <w:tcPr>
            <w:tcW w:w="1935" w:type="dxa"/>
            <w:shd w:val="clear" w:color="auto" w:fill="D9E2F3" w:themeFill="accent1" w:themeFillTint="33"/>
          </w:tcPr>
          <w:p w14:paraId="67C50DAA" w14:textId="77777777" w:rsidR="00F71554" w:rsidRPr="00B870F9" w:rsidRDefault="00F71554" w:rsidP="00B54421">
            <w:pPr>
              <w:rPr>
                <w:b/>
                <w:bCs/>
                <w:szCs w:val="22"/>
              </w:rPr>
            </w:pPr>
            <w:r w:rsidRPr="00B870F9">
              <w:rPr>
                <w:b/>
                <w:bCs/>
                <w:szCs w:val="22"/>
              </w:rPr>
              <w:t>Percentage Contribution</w:t>
            </w:r>
          </w:p>
        </w:tc>
        <w:tc>
          <w:tcPr>
            <w:tcW w:w="1198" w:type="dxa"/>
            <w:vAlign w:val="center"/>
          </w:tcPr>
          <w:p w14:paraId="0DAA258D" w14:textId="77777777" w:rsidR="00F71554" w:rsidRPr="00B870F9" w:rsidRDefault="00F71554" w:rsidP="00B54421">
            <w:pPr>
              <w:jc w:val="center"/>
              <w:rPr>
                <w:szCs w:val="22"/>
              </w:rPr>
            </w:pPr>
            <w:r>
              <w:rPr>
                <w:szCs w:val="22"/>
              </w:rPr>
              <w:t>100</w:t>
            </w:r>
          </w:p>
        </w:tc>
        <w:tc>
          <w:tcPr>
            <w:tcW w:w="1254" w:type="dxa"/>
            <w:vAlign w:val="center"/>
          </w:tcPr>
          <w:p w14:paraId="536F5030" w14:textId="77777777" w:rsidR="00F71554" w:rsidRPr="00B870F9" w:rsidRDefault="00F71554" w:rsidP="00B54421">
            <w:pPr>
              <w:jc w:val="center"/>
              <w:rPr>
                <w:szCs w:val="22"/>
              </w:rPr>
            </w:pPr>
            <w:r>
              <w:rPr>
                <w:szCs w:val="22"/>
              </w:rPr>
              <w:t>-</w:t>
            </w:r>
          </w:p>
        </w:tc>
        <w:tc>
          <w:tcPr>
            <w:tcW w:w="1698" w:type="dxa"/>
            <w:vAlign w:val="center"/>
          </w:tcPr>
          <w:p w14:paraId="70642397" w14:textId="77777777" w:rsidR="00F71554" w:rsidRPr="00B870F9" w:rsidRDefault="00F71554" w:rsidP="00B54421">
            <w:pPr>
              <w:jc w:val="center"/>
              <w:rPr>
                <w:szCs w:val="22"/>
              </w:rPr>
            </w:pPr>
            <w:r>
              <w:rPr>
                <w:szCs w:val="22"/>
              </w:rPr>
              <w:t>-</w:t>
            </w:r>
          </w:p>
        </w:tc>
        <w:tc>
          <w:tcPr>
            <w:tcW w:w="1473" w:type="dxa"/>
            <w:vAlign w:val="center"/>
          </w:tcPr>
          <w:p w14:paraId="4CB6561C" w14:textId="77777777" w:rsidR="00F71554" w:rsidRPr="00B870F9" w:rsidRDefault="00F71554" w:rsidP="00B54421">
            <w:pPr>
              <w:jc w:val="center"/>
              <w:rPr>
                <w:szCs w:val="22"/>
              </w:rPr>
            </w:pPr>
            <w:r>
              <w:rPr>
                <w:szCs w:val="22"/>
              </w:rPr>
              <w:t>-</w:t>
            </w:r>
          </w:p>
        </w:tc>
        <w:tc>
          <w:tcPr>
            <w:tcW w:w="1452" w:type="dxa"/>
            <w:shd w:val="clear" w:color="auto" w:fill="D9E2F3" w:themeFill="accent1" w:themeFillTint="33"/>
            <w:vAlign w:val="center"/>
          </w:tcPr>
          <w:p w14:paraId="0A124C90" w14:textId="77777777" w:rsidR="00F71554" w:rsidRPr="00B870F9" w:rsidRDefault="00F71554" w:rsidP="00B54421">
            <w:pPr>
              <w:jc w:val="center"/>
              <w:rPr>
                <w:b/>
                <w:bCs/>
                <w:szCs w:val="22"/>
              </w:rPr>
            </w:pPr>
            <w:r w:rsidRPr="00B870F9">
              <w:rPr>
                <w:b/>
                <w:szCs w:val="22"/>
              </w:rPr>
              <w:t>100</w:t>
            </w:r>
            <w:r w:rsidRPr="00B870F9">
              <w:rPr>
                <w:b/>
                <w:bCs/>
                <w:szCs w:val="22"/>
              </w:rPr>
              <w:t>%</w:t>
            </w:r>
          </w:p>
        </w:tc>
      </w:tr>
    </w:tbl>
    <w:p w14:paraId="2B6BF083" w14:textId="77777777" w:rsidR="00F71554" w:rsidRPr="00FF3072" w:rsidRDefault="00F71554" w:rsidP="00F71554">
      <w:pPr>
        <w:rPr>
          <w:rFonts w:asciiTheme="minorHAnsi" w:hAnsiTheme="minorHAnsi" w:cstheme="minorHAnsi"/>
          <w:szCs w:val="22"/>
        </w:rPr>
      </w:pPr>
    </w:p>
    <w:p w14:paraId="66F6ACA0" w14:textId="77777777" w:rsidR="00F71554" w:rsidRPr="007A79A2" w:rsidRDefault="00F71554" w:rsidP="00F71554">
      <w:pPr>
        <w:pStyle w:val="Heading3"/>
      </w:pPr>
      <w:r>
        <w:t>Modules aims and o</w:t>
      </w:r>
      <w:r w:rsidRPr="007A79A2">
        <w:t>bjectives</w:t>
      </w:r>
    </w:p>
    <w:p w14:paraId="20496A91" w14:textId="77777777" w:rsidR="00F71554" w:rsidRPr="00330401" w:rsidRDefault="00F71554" w:rsidP="00F71554">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lang w:eastAsia="en-US"/>
        </w:rPr>
      </w:pPr>
      <w:r w:rsidRPr="00330401">
        <w:rPr>
          <w:rFonts w:cstheme="minorHAnsi"/>
          <w:iCs/>
          <w:szCs w:val="22"/>
        </w:rPr>
        <w:t xml:space="preserve">This module aims to </w:t>
      </w:r>
      <w:r w:rsidRPr="00330401">
        <w:rPr>
          <w:rFonts w:cstheme="minorHAnsi"/>
          <w:szCs w:val="22"/>
        </w:rPr>
        <w:t>introduce learners to the fundamental principles of tort law including but not limited to: an understanding of general principles of negligence; employer’s liability; occupier’s liability; trespass; nuisance; defamation; defective products’ liability; statute of limitations as it pertains to torts; defences to claims and remedies. The module applies continuous assess</w:t>
      </w:r>
      <w:r>
        <w:rPr>
          <w:rFonts w:cstheme="minorHAnsi"/>
          <w:szCs w:val="22"/>
        </w:rPr>
        <w:t>ment in its ascertain of learner</w:t>
      </w:r>
      <w:r w:rsidRPr="00330401">
        <w:rPr>
          <w:rFonts w:cstheme="minorHAnsi"/>
          <w:szCs w:val="22"/>
        </w:rPr>
        <w:t xml:space="preserve"> competence in the abovementioned areas: two assignments are required to be com</w:t>
      </w:r>
      <w:r>
        <w:rPr>
          <w:rFonts w:cstheme="minorHAnsi"/>
          <w:szCs w:val="22"/>
        </w:rPr>
        <w:t>pleted over the course of the 8-</w:t>
      </w:r>
      <w:r w:rsidRPr="00330401">
        <w:rPr>
          <w:rFonts w:cstheme="minorHAnsi"/>
          <w:szCs w:val="22"/>
        </w:rPr>
        <w:t xml:space="preserve">week module. One of these assignments involves responding to a traditional essay-based question and the other is problem-based. These assessments seek to increase learner competence in the areas of legal writing, research and the effective communication of legal argument related to tort law.  </w:t>
      </w:r>
    </w:p>
    <w:p w14:paraId="3B89FA7E" w14:textId="77777777" w:rsidR="00F71554" w:rsidRPr="00FF3072" w:rsidRDefault="00F71554" w:rsidP="00F71554"/>
    <w:p w14:paraId="375B87FE" w14:textId="77777777" w:rsidR="00F71554" w:rsidRPr="007A79A2" w:rsidRDefault="00F71554" w:rsidP="00F71554">
      <w:pPr>
        <w:pStyle w:val="Heading3"/>
      </w:pPr>
      <w:r w:rsidRPr="007A79A2">
        <w:t>Minimum intended module learning outcomes</w:t>
      </w:r>
    </w:p>
    <w:p w14:paraId="4D7CFB68" w14:textId="77777777" w:rsidR="00F71554" w:rsidRPr="00FF3072" w:rsidRDefault="00F71554" w:rsidP="00F71554">
      <w:pPr>
        <w:ind w:right="-17"/>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On successful completion of this module, learners are able to:</w:t>
      </w:r>
    </w:p>
    <w:p w14:paraId="4EC5A058" w14:textId="77777777" w:rsidR="00F71554" w:rsidRPr="00FF3072" w:rsidRDefault="00F71554" w:rsidP="00F71554">
      <w:pPr>
        <w:rPr>
          <w:rFonts w:asciiTheme="minorHAnsi" w:hAnsiTheme="minorHAnsi" w:cstheme="minorHAnsi"/>
          <w:szCs w:val="22"/>
        </w:rPr>
      </w:pPr>
    </w:p>
    <w:p w14:paraId="0EA52876" w14:textId="77777777" w:rsidR="00F71554" w:rsidRPr="00F479F8" w:rsidRDefault="00F71554" w:rsidP="00F71554">
      <w:pPr>
        <w:pStyle w:val="ListParagraph"/>
        <w:numPr>
          <w:ilvl w:val="0"/>
          <w:numId w:val="3"/>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heme="minorHAnsi" w:hAnsiTheme="minorHAnsi" w:cstheme="minorHAnsi"/>
          <w:szCs w:val="22"/>
        </w:rPr>
      </w:pPr>
      <w:r w:rsidRPr="00F479F8">
        <w:rPr>
          <w:rFonts w:asciiTheme="minorHAnsi" w:hAnsiTheme="minorHAnsi" w:cstheme="minorHAnsi"/>
          <w:szCs w:val="22"/>
        </w:rPr>
        <w:t>Explain the nature of a tort and define the characteristics of specific torts.</w:t>
      </w:r>
    </w:p>
    <w:p w14:paraId="710DFE32" w14:textId="77777777" w:rsidR="00F71554" w:rsidRPr="00F479F8" w:rsidRDefault="00F71554" w:rsidP="00F71554">
      <w:pPr>
        <w:pStyle w:val="ListParagraph"/>
        <w:numPr>
          <w:ilvl w:val="0"/>
          <w:numId w:val="3"/>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heme="minorHAnsi" w:hAnsiTheme="minorHAnsi" w:cstheme="minorHAnsi"/>
          <w:szCs w:val="22"/>
        </w:rPr>
      </w:pPr>
      <w:r w:rsidRPr="00F479F8">
        <w:rPr>
          <w:rFonts w:asciiTheme="minorHAnsi" w:hAnsiTheme="minorHAnsi" w:cstheme="minorHAnsi"/>
          <w:szCs w:val="22"/>
        </w:rPr>
        <w:t>Appraise the key elements of these torts.</w:t>
      </w:r>
    </w:p>
    <w:p w14:paraId="40DDC15F" w14:textId="77777777" w:rsidR="00F71554" w:rsidRPr="00F479F8" w:rsidRDefault="00F71554" w:rsidP="00F71554">
      <w:pPr>
        <w:pStyle w:val="ListParagraph"/>
        <w:numPr>
          <w:ilvl w:val="0"/>
          <w:numId w:val="3"/>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heme="minorHAnsi" w:hAnsiTheme="minorHAnsi" w:cstheme="minorHAnsi"/>
          <w:szCs w:val="22"/>
        </w:rPr>
      </w:pPr>
      <w:r w:rsidRPr="00F479F8">
        <w:rPr>
          <w:rFonts w:asciiTheme="minorHAnsi" w:hAnsiTheme="minorHAnsi" w:cstheme="minorHAnsi"/>
          <w:szCs w:val="22"/>
        </w:rPr>
        <w:t>Illustrate the remedies available in tort.</w:t>
      </w:r>
    </w:p>
    <w:p w14:paraId="16502112" w14:textId="77777777" w:rsidR="00F71554" w:rsidRPr="00F479F8" w:rsidRDefault="00F71554" w:rsidP="00F71554">
      <w:pPr>
        <w:pStyle w:val="ListParagraph"/>
        <w:numPr>
          <w:ilvl w:val="0"/>
          <w:numId w:val="3"/>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heme="minorHAnsi" w:hAnsiTheme="minorHAnsi" w:cstheme="minorHAnsi"/>
          <w:szCs w:val="22"/>
        </w:rPr>
      </w:pPr>
      <w:r w:rsidRPr="00F479F8">
        <w:rPr>
          <w:rFonts w:asciiTheme="minorHAnsi" w:hAnsiTheme="minorHAnsi" w:cstheme="minorHAnsi"/>
          <w:szCs w:val="22"/>
        </w:rPr>
        <w:t>Assess factual scenarios and apply their understanding of Irish tort law to them.</w:t>
      </w:r>
    </w:p>
    <w:p w14:paraId="1B1174ED" w14:textId="77777777" w:rsidR="00F71554" w:rsidRPr="00FF3072" w:rsidRDefault="00F71554" w:rsidP="00F71554">
      <w:pPr>
        <w:rPr>
          <w:rFonts w:asciiTheme="minorHAnsi" w:hAnsiTheme="minorHAnsi" w:cstheme="minorHAnsi"/>
          <w:szCs w:val="22"/>
        </w:rPr>
      </w:pPr>
    </w:p>
    <w:p w14:paraId="07BF6338" w14:textId="77777777" w:rsidR="00F71554" w:rsidRPr="00F479F8" w:rsidRDefault="00F71554" w:rsidP="00F71554">
      <w:pPr>
        <w:pStyle w:val="Heading3"/>
      </w:pPr>
      <w:r w:rsidRPr="00F479F8">
        <w:t>Rationale for inclusion of the module in the programme and its contribution to the overall MIPLOs</w:t>
      </w:r>
    </w:p>
    <w:p w14:paraId="544E1AE2" w14:textId="77777777" w:rsidR="00F71554" w:rsidRPr="00330401" w:rsidRDefault="00F71554" w:rsidP="00F71554">
      <w:pPr>
        <w:jc w:val="both"/>
        <w:rPr>
          <w:rFonts w:cstheme="minorHAnsi"/>
          <w:color w:val="000000" w:themeColor="text1"/>
          <w:szCs w:val="22"/>
        </w:rPr>
      </w:pPr>
      <w:r w:rsidRPr="00330401">
        <w:rPr>
          <w:rFonts w:cstheme="minorHAnsi"/>
          <w:szCs w:val="22"/>
        </w:rPr>
        <w:t xml:space="preserve">Law of Torts provides learners with an overview of key common law and legislative torts. It is a core module that provides an understanding of a critical element of civil liability. It also covers the practical elements of tort law such as defences, remedies, and limitation periods, that learners require if they embark on or continue their legal careers.  </w:t>
      </w:r>
      <w:r w:rsidRPr="00330401">
        <w:rPr>
          <w:rFonts w:cstheme="minorHAnsi"/>
          <w:szCs w:val="22"/>
          <w:lang w:eastAsia="en-US"/>
        </w:rPr>
        <w:t xml:space="preserve">In that context this module supports the achievement of </w:t>
      </w:r>
      <w:r>
        <w:rPr>
          <w:rFonts w:cstheme="minorHAnsi"/>
          <w:szCs w:val="22"/>
          <w:lang w:eastAsia="en-US"/>
        </w:rPr>
        <w:t>MIPLO I.</w:t>
      </w:r>
    </w:p>
    <w:p w14:paraId="536A2B23" w14:textId="77777777" w:rsidR="00F71554" w:rsidRPr="00330401" w:rsidRDefault="00F71554" w:rsidP="00F71554">
      <w:pPr>
        <w:jc w:val="both"/>
        <w:rPr>
          <w:rFonts w:cstheme="minorHAnsi"/>
          <w:szCs w:val="22"/>
        </w:rPr>
      </w:pPr>
    </w:p>
    <w:p w14:paraId="2B05D228" w14:textId="77777777" w:rsidR="00F71554" w:rsidRPr="00330401" w:rsidRDefault="00F71554" w:rsidP="00F71554">
      <w:pPr>
        <w:pStyle w:val="NormalWeb"/>
        <w:spacing w:before="0" w:beforeAutospacing="0" w:after="0" w:afterAutospacing="0"/>
        <w:jc w:val="both"/>
        <w:rPr>
          <w:rFonts w:ascii="Calibri" w:hAnsi="Calibri" w:cstheme="minorHAnsi"/>
          <w:sz w:val="22"/>
          <w:szCs w:val="22"/>
        </w:rPr>
      </w:pPr>
      <w:r w:rsidRPr="00330401">
        <w:rPr>
          <w:rFonts w:ascii="Calibri" w:hAnsi="Calibri" w:cstheme="minorHAnsi"/>
          <w:sz w:val="22"/>
          <w:szCs w:val="22"/>
        </w:rPr>
        <w:t xml:space="preserve">The module builds upon the legal research and writing skills that </w:t>
      </w:r>
      <w:r>
        <w:rPr>
          <w:rFonts w:ascii="Calibri" w:hAnsi="Calibri" w:cstheme="minorHAnsi"/>
          <w:sz w:val="22"/>
          <w:szCs w:val="22"/>
        </w:rPr>
        <w:t>learner</w:t>
      </w:r>
      <w:r w:rsidRPr="00330401">
        <w:rPr>
          <w:rFonts w:ascii="Calibri" w:hAnsi="Calibri" w:cstheme="minorHAnsi"/>
          <w:sz w:val="22"/>
          <w:szCs w:val="22"/>
        </w:rPr>
        <w:t xml:space="preserve">s will already have acquired in Block 1 and challenges them to apply their legal knowledge in both an essay-based, abstract assignment and a fact-specific problem-scenario where they are tasked to provide advice to fictional clients. </w:t>
      </w:r>
      <w:r w:rsidRPr="00330401">
        <w:rPr>
          <w:rFonts w:ascii="Calibri" w:hAnsi="Calibri" w:cstheme="minorHAnsi"/>
          <w:sz w:val="22"/>
          <w:szCs w:val="22"/>
          <w:lang w:eastAsia="en-US"/>
        </w:rPr>
        <w:t xml:space="preserve">In that context this module supports the achievement of </w:t>
      </w:r>
      <w:r>
        <w:rPr>
          <w:rFonts w:ascii="Calibri" w:hAnsi="Calibri" w:cstheme="minorHAnsi"/>
          <w:sz w:val="22"/>
          <w:szCs w:val="22"/>
          <w:lang w:eastAsia="en-US"/>
        </w:rPr>
        <w:t>MIPLOs II and IV.</w:t>
      </w:r>
    </w:p>
    <w:p w14:paraId="195C065A" w14:textId="77777777" w:rsidR="00F71554" w:rsidRPr="00330401" w:rsidRDefault="00F71554" w:rsidP="00F71554">
      <w:pPr>
        <w:jc w:val="both"/>
        <w:rPr>
          <w:rFonts w:cstheme="minorHAnsi"/>
          <w:szCs w:val="22"/>
        </w:rPr>
      </w:pPr>
    </w:p>
    <w:p w14:paraId="7A6C588C" w14:textId="77777777" w:rsidR="00F71554" w:rsidRDefault="00F71554" w:rsidP="00F71554">
      <w:pPr>
        <w:pStyle w:val="NormalWeb"/>
        <w:spacing w:before="0" w:beforeAutospacing="0" w:after="0" w:afterAutospacing="0"/>
        <w:jc w:val="both"/>
        <w:rPr>
          <w:rFonts w:ascii="Calibri" w:hAnsi="Calibri" w:cstheme="minorHAnsi"/>
          <w:sz w:val="22"/>
          <w:szCs w:val="22"/>
        </w:rPr>
      </w:pPr>
      <w:r w:rsidRPr="00330401">
        <w:rPr>
          <w:rFonts w:ascii="Calibri" w:hAnsi="Calibri" w:cstheme="minorHAnsi"/>
          <w:sz w:val="22"/>
          <w:szCs w:val="22"/>
        </w:rPr>
        <w:t xml:space="preserve">Formative classwork includes group discussion of exercises, fact-based problem scenarios and quizzes, aimed at increasing collaborative problem-solving. </w:t>
      </w:r>
      <w:r w:rsidRPr="00330401">
        <w:rPr>
          <w:rFonts w:ascii="Calibri" w:hAnsi="Calibri" w:cstheme="minorHAnsi"/>
          <w:sz w:val="22"/>
          <w:szCs w:val="22"/>
          <w:lang w:eastAsia="en-US"/>
        </w:rPr>
        <w:t xml:space="preserve">In that context this module supports the achievement of </w:t>
      </w:r>
      <w:r>
        <w:rPr>
          <w:rFonts w:ascii="Calibri" w:hAnsi="Calibri" w:cstheme="minorHAnsi"/>
          <w:sz w:val="22"/>
          <w:szCs w:val="22"/>
          <w:lang w:eastAsia="en-US"/>
        </w:rPr>
        <w:t>MIPLO VI.</w:t>
      </w:r>
      <w:r w:rsidRPr="00330401">
        <w:rPr>
          <w:rFonts w:ascii="Calibri" w:eastAsiaTheme="majorEastAsia" w:hAnsi="Calibri" w:cstheme="minorHAnsi"/>
          <w:color w:val="000000" w:themeColor="text1"/>
          <w:sz w:val="22"/>
          <w:szCs w:val="22"/>
        </w:rPr>
        <w:t xml:space="preserve"> </w:t>
      </w:r>
      <w:r w:rsidRPr="00330401">
        <w:rPr>
          <w:rFonts w:ascii="Calibri" w:hAnsi="Calibri" w:cstheme="minorHAnsi"/>
          <w:sz w:val="22"/>
          <w:szCs w:val="22"/>
        </w:rPr>
        <w:t xml:space="preserve">By receiving feedback on all summative and formative assessments, learners are enabled to evaluate and reflect on their work, thereby facilitating improvement. </w:t>
      </w:r>
      <w:r w:rsidRPr="00330401">
        <w:rPr>
          <w:rFonts w:ascii="Calibri" w:hAnsi="Calibri" w:cstheme="minorHAnsi"/>
          <w:sz w:val="22"/>
          <w:szCs w:val="22"/>
          <w:lang w:eastAsia="en-US"/>
        </w:rPr>
        <w:t xml:space="preserve">In that context this module supports the achievement of </w:t>
      </w:r>
      <w:r>
        <w:rPr>
          <w:rFonts w:ascii="Calibri" w:hAnsi="Calibri" w:cstheme="minorHAnsi"/>
          <w:sz w:val="22"/>
          <w:szCs w:val="22"/>
          <w:lang w:eastAsia="en-US"/>
        </w:rPr>
        <w:t>MIPLO VII.</w:t>
      </w:r>
    </w:p>
    <w:p w14:paraId="298DF95B" w14:textId="77777777" w:rsidR="00F71554" w:rsidRPr="00330401" w:rsidRDefault="00F71554" w:rsidP="00F71554">
      <w:pPr>
        <w:pStyle w:val="NormalWeb"/>
        <w:spacing w:before="0" w:beforeAutospacing="0" w:after="0" w:afterAutospacing="0"/>
        <w:jc w:val="both"/>
        <w:rPr>
          <w:rFonts w:ascii="Calibri" w:hAnsi="Calibri" w:cstheme="minorHAnsi"/>
          <w:sz w:val="22"/>
          <w:szCs w:val="22"/>
        </w:rPr>
      </w:pPr>
    </w:p>
    <w:p w14:paraId="46A3F3B2" w14:textId="77777777" w:rsidR="00F71554" w:rsidRPr="00330401" w:rsidRDefault="00F71554" w:rsidP="00F71554">
      <w:pPr>
        <w:pStyle w:val="NormalWeb"/>
        <w:spacing w:before="0" w:beforeAutospacing="0" w:after="0" w:afterAutospacing="0"/>
        <w:jc w:val="both"/>
        <w:rPr>
          <w:rFonts w:ascii="Calibri" w:hAnsi="Calibri" w:cstheme="minorHAnsi"/>
          <w:sz w:val="22"/>
          <w:szCs w:val="22"/>
        </w:rPr>
      </w:pPr>
      <w:r w:rsidRPr="00330401">
        <w:rPr>
          <w:rFonts w:ascii="Calibri" w:hAnsi="Calibri" w:cstheme="minorHAnsi"/>
          <w:sz w:val="22"/>
          <w:szCs w:val="22"/>
        </w:rPr>
        <w:t xml:space="preserve">The area of tort law is vast and enjoys a long-standing history. As such, any study of the topic involves the tracking of executed or proposed reforms across a range of areas and the corresponding impacts on society. An example of this is the proposal of the removal of juries in defamation cases. </w:t>
      </w:r>
      <w:r w:rsidRPr="00330401">
        <w:rPr>
          <w:rFonts w:ascii="Calibri" w:hAnsi="Calibri" w:cstheme="minorHAnsi"/>
          <w:sz w:val="22"/>
          <w:szCs w:val="22"/>
          <w:lang w:eastAsia="en-US"/>
        </w:rPr>
        <w:t xml:space="preserve">In that context this module supports the achievement of </w:t>
      </w:r>
      <w:r>
        <w:rPr>
          <w:rFonts w:ascii="Calibri" w:hAnsi="Calibri" w:cstheme="minorHAnsi"/>
          <w:sz w:val="22"/>
          <w:szCs w:val="22"/>
          <w:lang w:eastAsia="en-US"/>
        </w:rPr>
        <w:t>MIPLO VIII.</w:t>
      </w:r>
    </w:p>
    <w:p w14:paraId="1AC8D320" w14:textId="77777777" w:rsidR="00F71554" w:rsidRPr="00FF3072" w:rsidRDefault="00F71554" w:rsidP="00F71554">
      <w:pPr>
        <w:rPr>
          <w:rFonts w:asciiTheme="minorHAnsi" w:hAnsiTheme="minorHAnsi" w:cstheme="minorHAnsi"/>
          <w:szCs w:val="22"/>
        </w:rPr>
      </w:pPr>
    </w:p>
    <w:p w14:paraId="255835D6" w14:textId="77777777" w:rsidR="00F71554" w:rsidRPr="00F479F8" w:rsidRDefault="00F71554" w:rsidP="00F71554">
      <w:pPr>
        <w:pStyle w:val="Heading3"/>
      </w:pPr>
      <w:r w:rsidRPr="00F479F8">
        <w:lastRenderedPageBreak/>
        <w:t>Information provided to learners about the module</w:t>
      </w:r>
    </w:p>
    <w:p w14:paraId="441629F5" w14:textId="77777777" w:rsidR="00F71554" w:rsidRPr="00330401" w:rsidRDefault="00F71554" w:rsidP="00F71554">
      <w:pPr>
        <w:jc w:val="both"/>
        <w:rPr>
          <w:rFonts w:cstheme="minorHAnsi"/>
          <w:color w:val="000000" w:themeColor="text1"/>
          <w:szCs w:val="22"/>
        </w:rPr>
      </w:pPr>
      <w:r w:rsidRPr="00330401">
        <w:rPr>
          <w:rFonts w:cstheme="minorHAnsi"/>
          <w:szCs w:val="22"/>
        </w:rPr>
        <w:t xml:space="preserve">Law of Torts provides learners with an overview of key common law and legislative torts. It is a core module that provides an understanding of a critical element of civil liability. It also covers the practical elements of tort law such as defences, remedies, and limitation periods, that learners require if they embark on or continue their legal careers.  </w:t>
      </w:r>
      <w:r w:rsidRPr="00330401">
        <w:rPr>
          <w:rFonts w:cstheme="minorHAnsi"/>
          <w:szCs w:val="22"/>
          <w:lang w:eastAsia="en-US"/>
        </w:rPr>
        <w:t>In that context this module supports the achievement of the Programme Learning Outcome: “</w:t>
      </w:r>
      <w:r w:rsidRPr="00330401">
        <w:rPr>
          <w:rFonts w:cstheme="minorHAnsi"/>
          <w:szCs w:val="22"/>
        </w:rPr>
        <w:t>Demonstrate a knowledge of the core areas of Irish Law”.</w:t>
      </w:r>
    </w:p>
    <w:p w14:paraId="21548654" w14:textId="77777777" w:rsidR="00F71554" w:rsidRPr="00330401" w:rsidRDefault="00F71554" w:rsidP="00F71554">
      <w:pPr>
        <w:jc w:val="both"/>
        <w:rPr>
          <w:rFonts w:cstheme="minorHAnsi"/>
          <w:szCs w:val="22"/>
        </w:rPr>
      </w:pPr>
    </w:p>
    <w:p w14:paraId="42B214B0" w14:textId="77777777" w:rsidR="00F71554" w:rsidRPr="00330401" w:rsidRDefault="00F71554" w:rsidP="00F71554">
      <w:pPr>
        <w:pStyle w:val="NormalWeb"/>
        <w:spacing w:before="0" w:beforeAutospacing="0" w:after="0" w:afterAutospacing="0"/>
        <w:jc w:val="both"/>
        <w:rPr>
          <w:rFonts w:ascii="Calibri" w:hAnsi="Calibri" w:cstheme="minorHAnsi"/>
          <w:sz w:val="22"/>
          <w:szCs w:val="22"/>
        </w:rPr>
      </w:pPr>
      <w:r w:rsidRPr="00330401">
        <w:rPr>
          <w:rFonts w:ascii="Calibri" w:hAnsi="Calibri" w:cstheme="minorHAnsi"/>
          <w:sz w:val="22"/>
          <w:szCs w:val="22"/>
        </w:rPr>
        <w:t xml:space="preserve">The module builds upon the legal research and writing skills that </w:t>
      </w:r>
      <w:r>
        <w:rPr>
          <w:rFonts w:ascii="Calibri" w:hAnsi="Calibri" w:cstheme="minorHAnsi"/>
          <w:sz w:val="22"/>
          <w:szCs w:val="22"/>
        </w:rPr>
        <w:t>learner</w:t>
      </w:r>
      <w:r w:rsidRPr="00330401">
        <w:rPr>
          <w:rFonts w:ascii="Calibri" w:hAnsi="Calibri" w:cstheme="minorHAnsi"/>
          <w:sz w:val="22"/>
          <w:szCs w:val="22"/>
        </w:rPr>
        <w:t xml:space="preserve">s will already have acquired in Block 1 and challenges them to apply their legal knowledge in both an essay-based, abstract assignment and a fact-specific problem-scenario where they are tasked to provide advice to fictional clients. </w:t>
      </w:r>
      <w:r w:rsidRPr="00330401">
        <w:rPr>
          <w:rFonts w:ascii="Calibri" w:hAnsi="Calibri" w:cstheme="minorHAnsi"/>
          <w:sz w:val="22"/>
          <w:szCs w:val="22"/>
          <w:lang w:eastAsia="en-US"/>
        </w:rPr>
        <w:t>In that context this module supports the achievement of the Programme Learning Outcomes: “</w:t>
      </w:r>
      <w:r w:rsidRPr="00330401">
        <w:rPr>
          <w:rFonts w:ascii="Calibri" w:hAnsi="Calibri" w:cstheme="minorHAnsi"/>
          <w:sz w:val="22"/>
          <w:szCs w:val="22"/>
        </w:rPr>
        <w:t>Conceptualise and communicate legal arguments with clarity and precision, and identify escalation processes as appropriate” and</w:t>
      </w:r>
      <w:r w:rsidRPr="00330401">
        <w:rPr>
          <w:rFonts w:ascii="Calibri" w:hAnsi="Calibri" w:cstheme="minorHAnsi"/>
          <w:sz w:val="22"/>
          <w:szCs w:val="22"/>
          <w:lang w:eastAsia="en-US"/>
        </w:rPr>
        <w:t xml:space="preserve"> “</w:t>
      </w:r>
      <w:r w:rsidRPr="00330401">
        <w:rPr>
          <w:rFonts w:ascii="Calibri" w:hAnsi="Calibri" w:cstheme="minorHAnsi"/>
          <w:sz w:val="22"/>
          <w:szCs w:val="22"/>
        </w:rPr>
        <w:t xml:space="preserve">Evaluate legislation, </w:t>
      </w:r>
      <w:proofErr w:type="spellStart"/>
      <w:r w:rsidRPr="00330401">
        <w:rPr>
          <w:rFonts w:ascii="Calibri" w:hAnsi="Calibri" w:cstheme="minorHAnsi"/>
          <w:sz w:val="22"/>
          <w:szCs w:val="22"/>
        </w:rPr>
        <w:t>Bunreacht</w:t>
      </w:r>
      <w:proofErr w:type="spellEnd"/>
      <w:r w:rsidRPr="00330401">
        <w:rPr>
          <w:rFonts w:ascii="Calibri" w:hAnsi="Calibri" w:cstheme="minorHAnsi"/>
          <w:sz w:val="22"/>
          <w:szCs w:val="22"/>
        </w:rPr>
        <w:t xml:space="preserve"> </w:t>
      </w:r>
      <w:proofErr w:type="spellStart"/>
      <w:r w:rsidRPr="00330401">
        <w:rPr>
          <w:rFonts w:ascii="Calibri" w:hAnsi="Calibri" w:cstheme="minorHAnsi"/>
          <w:sz w:val="22"/>
          <w:szCs w:val="22"/>
        </w:rPr>
        <w:t>na</w:t>
      </w:r>
      <w:proofErr w:type="spellEnd"/>
      <w:r w:rsidRPr="00330401">
        <w:rPr>
          <w:rFonts w:ascii="Calibri" w:hAnsi="Calibri" w:cstheme="minorHAnsi"/>
          <w:sz w:val="22"/>
          <w:szCs w:val="22"/>
        </w:rPr>
        <w:t xml:space="preserve"> </w:t>
      </w:r>
      <w:proofErr w:type="spellStart"/>
      <w:r w:rsidRPr="00330401">
        <w:rPr>
          <w:rFonts w:ascii="Calibri" w:hAnsi="Calibri" w:cstheme="minorHAnsi"/>
          <w:sz w:val="22"/>
          <w:szCs w:val="22"/>
        </w:rPr>
        <w:t>hÉireann</w:t>
      </w:r>
      <w:proofErr w:type="spellEnd"/>
      <w:r w:rsidRPr="00330401">
        <w:rPr>
          <w:rFonts w:ascii="Calibri" w:hAnsi="Calibri" w:cstheme="minorHAnsi"/>
          <w:sz w:val="22"/>
          <w:szCs w:val="22"/>
        </w:rPr>
        <w:t xml:space="preserve"> (the Constitution of Ireland), and case law, in pursuit of solutions to specific legal issues”.</w:t>
      </w:r>
    </w:p>
    <w:p w14:paraId="44D08B6A" w14:textId="77777777" w:rsidR="00F71554" w:rsidRPr="00330401" w:rsidRDefault="00F71554" w:rsidP="00F71554">
      <w:pPr>
        <w:jc w:val="both"/>
        <w:rPr>
          <w:rFonts w:cstheme="minorHAnsi"/>
          <w:szCs w:val="22"/>
        </w:rPr>
      </w:pPr>
    </w:p>
    <w:p w14:paraId="0F81356E" w14:textId="77777777" w:rsidR="00F71554" w:rsidRPr="00330401" w:rsidRDefault="00F71554" w:rsidP="00F71554">
      <w:pPr>
        <w:pStyle w:val="NormalWeb"/>
        <w:spacing w:before="0" w:beforeAutospacing="0" w:after="0" w:afterAutospacing="0"/>
        <w:jc w:val="both"/>
        <w:rPr>
          <w:rFonts w:ascii="Calibri" w:hAnsi="Calibri" w:cstheme="minorHAnsi"/>
          <w:sz w:val="22"/>
          <w:szCs w:val="22"/>
        </w:rPr>
      </w:pPr>
      <w:r w:rsidRPr="00330401">
        <w:rPr>
          <w:rFonts w:ascii="Calibri" w:hAnsi="Calibri" w:cstheme="minorHAnsi"/>
          <w:sz w:val="22"/>
          <w:szCs w:val="22"/>
        </w:rPr>
        <w:t xml:space="preserve">Formative classwork includes group discussion of exercises, fact-based problem scenarios and quizzes, aimed at increasing collaborative problem-solving. </w:t>
      </w:r>
      <w:r w:rsidRPr="00330401">
        <w:rPr>
          <w:rFonts w:ascii="Calibri" w:hAnsi="Calibri" w:cstheme="minorHAnsi"/>
          <w:sz w:val="22"/>
          <w:szCs w:val="22"/>
          <w:lang w:eastAsia="en-US"/>
        </w:rPr>
        <w:t>In that context this module supports the achievement of the Programme Learning Outcome: “</w:t>
      </w:r>
      <w:r w:rsidRPr="00330401">
        <w:rPr>
          <w:rFonts w:ascii="Calibri" w:hAnsi="Calibri" w:cstheme="minorHAnsi"/>
          <w:sz w:val="22"/>
          <w:szCs w:val="22"/>
        </w:rPr>
        <w:t>Participate constructively,</w:t>
      </w:r>
      <w:r w:rsidRPr="00330401">
        <w:rPr>
          <w:rFonts w:ascii="Calibri" w:eastAsiaTheme="majorEastAsia" w:hAnsi="Calibri" w:cstheme="minorHAnsi"/>
          <w:color w:val="000000" w:themeColor="text1"/>
          <w:sz w:val="22"/>
          <w:szCs w:val="22"/>
        </w:rPr>
        <w:t xml:space="preserve"> collaboratively and ethically</w:t>
      </w:r>
      <w:r w:rsidRPr="00330401">
        <w:rPr>
          <w:rFonts w:ascii="Calibri" w:hAnsi="Calibri" w:cstheme="minorHAnsi"/>
          <w:sz w:val="22"/>
          <w:szCs w:val="22"/>
        </w:rPr>
        <w:t xml:space="preserve"> in both individual and group environments and a</w:t>
      </w:r>
      <w:r w:rsidRPr="00330401">
        <w:rPr>
          <w:rFonts w:ascii="Calibri" w:eastAsiaTheme="majorEastAsia" w:hAnsi="Calibri" w:cstheme="minorHAnsi"/>
          <w:color w:val="000000" w:themeColor="text1"/>
          <w:sz w:val="22"/>
          <w:szCs w:val="22"/>
        </w:rPr>
        <w:t xml:space="preserve">pply the supervisory skills required to build and effect teamwork within a group”. </w:t>
      </w:r>
    </w:p>
    <w:p w14:paraId="6AEB8138" w14:textId="77777777" w:rsidR="00F71554" w:rsidRPr="00330401" w:rsidRDefault="00F71554" w:rsidP="00F71554">
      <w:pPr>
        <w:pStyle w:val="NormalWeb"/>
        <w:spacing w:before="0" w:beforeAutospacing="0" w:after="0" w:afterAutospacing="0"/>
        <w:jc w:val="both"/>
        <w:rPr>
          <w:rFonts w:ascii="Calibri" w:eastAsiaTheme="majorEastAsia" w:hAnsi="Calibri" w:cstheme="minorHAnsi"/>
          <w:color w:val="000000" w:themeColor="text1"/>
          <w:sz w:val="22"/>
          <w:szCs w:val="22"/>
        </w:rPr>
      </w:pPr>
    </w:p>
    <w:p w14:paraId="67C92D63" w14:textId="77777777" w:rsidR="00F71554" w:rsidRPr="00330401" w:rsidRDefault="00F71554" w:rsidP="00F71554">
      <w:pPr>
        <w:pStyle w:val="NormalWeb"/>
        <w:spacing w:before="0" w:beforeAutospacing="0" w:after="0" w:afterAutospacing="0"/>
        <w:jc w:val="both"/>
        <w:rPr>
          <w:rFonts w:ascii="Calibri" w:hAnsi="Calibri" w:cstheme="minorHAnsi"/>
          <w:sz w:val="22"/>
          <w:szCs w:val="22"/>
        </w:rPr>
      </w:pPr>
      <w:r w:rsidRPr="00330401">
        <w:rPr>
          <w:rFonts w:ascii="Calibri" w:hAnsi="Calibri" w:cstheme="minorHAnsi"/>
          <w:sz w:val="22"/>
          <w:szCs w:val="22"/>
        </w:rPr>
        <w:t xml:space="preserve">By receiving feedback on all summative and formative assessments, learners are enabled to evaluate and reflect on their work, thereby facilitating improvement. </w:t>
      </w:r>
      <w:r w:rsidRPr="00330401">
        <w:rPr>
          <w:rFonts w:ascii="Calibri" w:hAnsi="Calibri" w:cstheme="minorHAnsi"/>
          <w:sz w:val="22"/>
          <w:szCs w:val="22"/>
          <w:lang w:eastAsia="en-US"/>
        </w:rPr>
        <w:t xml:space="preserve">In that context this module supports the achievement of the Programme Learning Outcome: </w:t>
      </w:r>
      <w:r w:rsidRPr="00330401">
        <w:rPr>
          <w:rFonts w:ascii="Calibri" w:hAnsi="Calibri" w:cstheme="minorHAnsi"/>
          <w:sz w:val="22"/>
          <w:szCs w:val="22"/>
        </w:rPr>
        <w:t>“Evaluate one’s own academic performance and take responsibility for self-directed, continuous learning”.</w:t>
      </w:r>
    </w:p>
    <w:p w14:paraId="2BDF2C79" w14:textId="77777777" w:rsidR="00F71554" w:rsidRPr="00330401" w:rsidRDefault="00F71554" w:rsidP="00F71554">
      <w:pPr>
        <w:pStyle w:val="NormalWeb"/>
        <w:spacing w:before="0" w:beforeAutospacing="0" w:after="0" w:afterAutospacing="0"/>
        <w:jc w:val="both"/>
        <w:rPr>
          <w:rFonts w:ascii="Calibri" w:hAnsi="Calibri" w:cstheme="minorHAnsi"/>
          <w:sz w:val="22"/>
          <w:szCs w:val="22"/>
        </w:rPr>
      </w:pPr>
    </w:p>
    <w:p w14:paraId="2BB9DAF3" w14:textId="77777777" w:rsidR="00F71554" w:rsidRPr="00330401" w:rsidRDefault="00F71554" w:rsidP="00F71554">
      <w:pPr>
        <w:pStyle w:val="NormalWeb"/>
        <w:spacing w:before="0" w:beforeAutospacing="0" w:after="0" w:afterAutospacing="0"/>
        <w:jc w:val="both"/>
        <w:rPr>
          <w:rFonts w:ascii="Calibri" w:hAnsi="Calibri" w:cstheme="minorHAnsi"/>
          <w:sz w:val="22"/>
          <w:szCs w:val="22"/>
        </w:rPr>
      </w:pPr>
      <w:r w:rsidRPr="00330401">
        <w:rPr>
          <w:rFonts w:ascii="Calibri" w:hAnsi="Calibri" w:cstheme="minorHAnsi"/>
          <w:sz w:val="22"/>
          <w:szCs w:val="22"/>
        </w:rPr>
        <w:t xml:space="preserve">The area of tort law is vast and enjoys a long-standing history. As such, any study of the topic involves the tracking of executed or proposed reforms across a range of areas and the corresponding impacts on society. An example of this is the proposal of the removal of juries in defamation cases. </w:t>
      </w:r>
      <w:r w:rsidRPr="00330401">
        <w:rPr>
          <w:rFonts w:ascii="Calibri" w:hAnsi="Calibri" w:cstheme="minorHAnsi"/>
          <w:sz w:val="22"/>
          <w:szCs w:val="22"/>
          <w:lang w:eastAsia="en-US"/>
        </w:rPr>
        <w:t>In that context this module supports the achievement of the Programme Learning Outcome:</w:t>
      </w:r>
      <w:r w:rsidRPr="00330401">
        <w:rPr>
          <w:rFonts w:ascii="Calibri" w:hAnsi="Calibri" w:cstheme="minorHAnsi"/>
          <w:sz w:val="22"/>
          <w:szCs w:val="22"/>
        </w:rPr>
        <w:t xml:space="preserve"> “Debate the social and political impact of law”.</w:t>
      </w:r>
    </w:p>
    <w:p w14:paraId="14117093" w14:textId="77777777" w:rsidR="00F71554" w:rsidRPr="00FF3072" w:rsidRDefault="00F71554" w:rsidP="00F71554">
      <w:pPr>
        <w:ind w:right="-17"/>
        <w:jc w:val="both"/>
        <w:rPr>
          <w:rFonts w:asciiTheme="minorHAnsi" w:eastAsia="Calibri" w:hAnsiTheme="minorHAnsi" w:cstheme="minorHAnsi"/>
          <w:szCs w:val="22"/>
        </w:rPr>
      </w:pPr>
    </w:p>
    <w:p w14:paraId="7C187823" w14:textId="77777777" w:rsidR="00F71554" w:rsidRPr="00F479F8" w:rsidRDefault="00F71554" w:rsidP="00F71554">
      <w:pPr>
        <w:pStyle w:val="Heading3"/>
      </w:pPr>
      <w:r w:rsidRPr="00F479F8">
        <w:t>Module content, organisation and structure</w:t>
      </w:r>
    </w:p>
    <w:p w14:paraId="51C5D485" w14:textId="77777777" w:rsidR="00F71554" w:rsidRPr="00FF3072" w:rsidRDefault="00F71554" w:rsidP="00F71554">
      <w:pPr>
        <w:rPr>
          <w:rFonts w:asciiTheme="minorHAnsi" w:hAnsiTheme="minorHAnsi" w:cstheme="minorHAnsi"/>
          <w:szCs w:val="22"/>
        </w:rPr>
      </w:pPr>
      <w:r>
        <w:rPr>
          <w:rFonts w:asciiTheme="minorHAnsi" w:hAnsiTheme="minorHAnsi" w:cstheme="minorHAnsi"/>
          <w:szCs w:val="22"/>
        </w:rPr>
        <w:t>The following content informs this module:</w:t>
      </w:r>
    </w:p>
    <w:p w14:paraId="2D76CB42" w14:textId="77777777" w:rsidR="00F71554" w:rsidRPr="00FF3072" w:rsidRDefault="00F71554" w:rsidP="00F71554">
      <w:pPr>
        <w:rPr>
          <w:rFonts w:asciiTheme="minorHAnsi" w:hAnsiTheme="minorHAnsi" w:cstheme="minorHAnsi"/>
          <w:szCs w:val="22"/>
        </w:rPr>
      </w:pPr>
    </w:p>
    <w:tbl>
      <w:tblPr>
        <w:tblW w:w="5000" w:type="pct"/>
        <w:tblLook w:val="01E0" w:firstRow="1" w:lastRow="1" w:firstColumn="1" w:lastColumn="1" w:noHBand="0" w:noVBand="0"/>
      </w:tblPr>
      <w:tblGrid>
        <w:gridCol w:w="2357"/>
        <w:gridCol w:w="6653"/>
      </w:tblGrid>
      <w:tr w:rsidR="00F71554" w:rsidRPr="00FF3072" w14:paraId="0662B5F4" w14:textId="77777777" w:rsidTr="00B54421">
        <w:tc>
          <w:tcPr>
            <w:tcW w:w="13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1606DC1" w14:textId="77777777" w:rsidR="00F71554" w:rsidRPr="00FF3072" w:rsidRDefault="00F71554" w:rsidP="00B54421">
            <w:pPr>
              <w:rPr>
                <w:rFonts w:asciiTheme="minorHAnsi" w:hAnsiTheme="minorHAnsi" w:cstheme="minorHAnsi"/>
                <w:b/>
                <w:szCs w:val="22"/>
              </w:rPr>
            </w:pPr>
            <w:r>
              <w:rPr>
                <w:rFonts w:asciiTheme="minorHAnsi" w:hAnsiTheme="minorHAnsi" w:cstheme="minorHAnsi"/>
                <w:b/>
                <w:szCs w:val="22"/>
              </w:rPr>
              <w:t>TOPIC</w:t>
            </w:r>
          </w:p>
        </w:tc>
        <w:tc>
          <w:tcPr>
            <w:tcW w:w="369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5F6998" w14:textId="77777777" w:rsidR="00F71554" w:rsidRPr="00FF3072" w:rsidRDefault="00F71554" w:rsidP="00B54421">
            <w:pPr>
              <w:jc w:val="center"/>
              <w:rPr>
                <w:rFonts w:asciiTheme="minorHAnsi" w:hAnsiTheme="minorHAnsi" w:cstheme="minorHAnsi"/>
                <w:szCs w:val="22"/>
              </w:rPr>
            </w:pPr>
            <w:r w:rsidRPr="00FF3072">
              <w:rPr>
                <w:rFonts w:asciiTheme="minorHAnsi" w:hAnsiTheme="minorHAnsi" w:cstheme="minorHAnsi"/>
                <w:b/>
                <w:szCs w:val="22"/>
              </w:rPr>
              <w:t>DESCRIPTION</w:t>
            </w:r>
          </w:p>
        </w:tc>
      </w:tr>
      <w:tr w:rsidR="00F71554" w:rsidRPr="00FF3072" w14:paraId="6F902401" w14:textId="77777777" w:rsidTr="00B54421">
        <w:tc>
          <w:tcPr>
            <w:tcW w:w="1308" w:type="pct"/>
            <w:tcBorders>
              <w:top w:val="single" w:sz="4" w:space="0" w:color="auto"/>
              <w:left w:val="single" w:sz="4" w:space="0" w:color="auto"/>
              <w:bottom w:val="single" w:sz="4" w:space="0" w:color="auto"/>
              <w:right w:val="single" w:sz="4" w:space="0" w:color="auto"/>
            </w:tcBorders>
            <w:vAlign w:val="center"/>
          </w:tcPr>
          <w:p w14:paraId="13EAFAEE" w14:textId="77777777" w:rsidR="00F71554" w:rsidRPr="00F479F8" w:rsidRDefault="00F71554" w:rsidP="00B54421">
            <w:pPr>
              <w:rPr>
                <w:rFonts w:asciiTheme="minorHAnsi" w:hAnsiTheme="minorHAnsi" w:cstheme="minorHAnsi"/>
                <w:b/>
                <w:szCs w:val="22"/>
                <w:u w:val="single"/>
              </w:rPr>
            </w:pPr>
            <w:r w:rsidRPr="00FF3072">
              <w:rPr>
                <w:rFonts w:asciiTheme="minorHAnsi" w:hAnsiTheme="minorHAnsi" w:cstheme="minorHAnsi"/>
                <w:b/>
                <w:szCs w:val="22"/>
              </w:rPr>
              <w:t xml:space="preserve">Introduction to Tort. </w:t>
            </w:r>
            <w:r w:rsidRPr="00F479F8">
              <w:rPr>
                <w:rFonts w:asciiTheme="minorHAnsi" w:hAnsiTheme="minorHAnsi" w:cstheme="minorHAnsi"/>
                <w:b/>
                <w:szCs w:val="22"/>
                <w:u w:val="single"/>
              </w:rPr>
              <w:t xml:space="preserve">and Negligence </w:t>
            </w:r>
          </w:p>
          <w:p w14:paraId="38A93329" w14:textId="77777777" w:rsidR="00F71554" w:rsidRPr="00FF3072" w:rsidRDefault="00F71554" w:rsidP="00B54421">
            <w:pPr>
              <w:rPr>
                <w:rFonts w:asciiTheme="minorHAnsi" w:hAnsiTheme="minorHAnsi" w:cstheme="minorHAnsi"/>
                <w:b/>
                <w:szCs w:val="22"/>
              </w:rPr>
            </w:pPr>
            <w:r>
              <w:rPr>
                <w:rFonts w:asciiTheme="minorHAnsi" w:hAnsiTheme="minorHAnsi" w:cstheme="minorHAnsi"/>
                <w:b/>
                <w:szCs w:val="22"/>
              </w:rPr>
              <w:t>4 hours 19%</w:t>
            </w:r>
          </w:p>
        </w:tc>
        <w:tc>
          <w:tcPr>
            <w:tcW w:w="3692" w:type="pct"/>
            <w:tcBorders>
              <w:top w:val="single" w:sz="4" w:space="0" w:color="auto"/>
              <w:left w:val="single" w:sz="4" w:space="0" w:color="auto"/>
              <w:bottom w:val="single" w:sz="4" w:space="0" w:color="auto"/>
              <w:right w:val="single" w:sz="4" w:space="0" w:color="auto"/>
            </w:tcBorders>
            <w:vAlign w:val="center"/>
          </w:tcPr>
          <w:p w14:paraId="4E1C764C" w14:textId="77777777" w:rsidR="00F71554" w:rsidRPr="00FF3072" w:rsidRDefault="00F71554" w:rsidP="00B54421">
            <w:pPr>
              <w:rPr>
                <w:rFonts w:asciiTheme="minorHAnsi" w:hAnsiTheme="minorHAnsi" w:cstheme="minorHAnsi"/>
                <w:szCs w:val="22"/>
              </w:rPr>
            </w:pPr>
            <w:r w:rsidRPr="00FF3072">
              <w:rPr>
                <w:rFonts w:asciiTheme="minorHAnsi" w:hAnsiTheme="minorHAnsi" w:cstheme="minorHAnsi"/>
                <w:szCs w:val="22"/>
              </w:rPr>
              <w:t>Definition of a Tort; the function of the Law of Tort; Tort law contrasted with contract and criminal law; fault liability.</w:t>
            </w:r>
          </w:p>
          <w:p w14:paraId="34F3299C" w14:textId="77777777" w:rsidR="00F71554" w:rsidRPr="00FF3072" w:rsidRDefault="00F71554" w:rsidP="00B54421">
            <w:pPr>
              <w:rPr>
                <w:rFonts w:asciiTheme="minorHAnsi" w:hAnsiTheme="minorHAnsi" w:cstheme="minorHAnsi"/>
                <w:szCs w:val="22"/>
              </w:rPr>
            </w:pPr>
            <w:r w:rsidRPr="00FF3072">
              <w:rPr>
                <w:rFonts w:asciiTheme="minorHAnsi" w:hAnsiTheme="minorHAnsi" w:cstheme="minorHAnsi"/>
                <w:szCs w:val="22"/>
              </w:rPr>
              <w:t xml:space="preserve">The duty of care, the standard of care, causation, remoteness, </w:t>
            </w:r>
            <w:proofErr w:type="spellStart"/>
            <w:r w:rsidRPr="00FF3072">
              <w:rPr>
                <w:rFonts w:asciiTheme="minorHAnsi" w:hAnsiTheme="minorHAnsi" w:cstheme="minorHAnsi"/>
                <w:i/>
                <w:szCs w:val="22"/>
              </w:rPr>
              <w:t>novus</w:t>
            </w:r>
            <w:proofErr w:type="spellEnd"/>
            <w:r w:rsidRPr="00FF3072">
              <w:rPr>
                <w:rFonts w:asciiTheme="minorHAnsi" w:hAnsiTheme="minorHAnsi" w:cstheme="minorHAnsi"/>
                <w:i/>
                <w:szCs w:val="22"/>
              </w:rPr>
              <w:t xml:space="preserve"> actus interveniens</w:t>
            </w:r>
            <w:r w:rsidRPr="00FF3072">
              <w:rPr>
                <w:rFonts w:asciiTheme="minorHAnsi" w:hAnsiTheme="minorHAnsi" w:cstheme="minorHAnsi"/>
                <w:szCs w:val="22"/>
              </w:rPr>
              <w:t xml:space="preserve">, </w:t>
            </w:r>
            <w:r w:rsidRPr="00FF3072">
              <w:rPr>
                <w:rFonts w:asciiTheme="minorHAnsi" w:hAnsiTheme="minorHAnsi" w:cstheme="minorHAnsi"/>
                <w:i/>
                <w:szCs w:val="22"/>
              </w:rPr>
              <w:t xml:space="preserve">res </w:t>
            </w:r>
            <w:proofErr w:type="spellStart"/>
            <w:r w:rsidRPr="00FF3072">
              <w:rPr>
                <w:rFonts w:asciiTheme="minorHAnsi" w:hAnsiTheme="minorHAnsi" w:cstheme="minorHAnsi"/>
                <w:i/>
                <w:szCs w:val="22"/>
              </w:rPr>
              <w:t>ipsa</w:t>
            </w:r>
            <w:proofErr w:type="spellEnd"/>
            <w:r w:rsidRPr="00FF3072">
              <w:rPr>
                <w:rFonts w:asciiTheme="minorHAnsi" w:hAnsiTheme="minorHAnsi" w:cstheme="minorHAnsi"/>
                <w:i/>
                <w:szCs w:val="22"/>
              </w:rPr>
              <w:t xml:space="preserve"> loquitur</w:t>
            </w:r>
            <w:r w:rsidRPr="00FF3072">
              <w:rPr>
                <w:rFonts w:asciiTheme="minorHAnsi" w:hAnsiTheme="minorHAnsi" w:cstheme="minorHAnsi"/>
                <w:szCs w:val="22"/>
              </w:rPr>
              <w:t xml:space="preserve">, pure economic loss, psychiatric damage, professional negligence. </w:t>
            </w:r>
          </w:p>
        </w:tc>
      </w:tr>
      <w:tr w:rsidR="00F71554" w:rsidRPr="00FF3072" w14:paraId="15CB0B92" w14:textId="77777777" w:rsidTr="00B54421">
        <w:tc>
          <w:tcPr>
            <w:tcW w:w="1308" w:type="pct"/>
            <w:tcBorders>
              <w:top w:val="single" w:sz="4" w:space="0" w:color="auto"/>
              <w:left w:val="single" w:sz="4" w:space="0" w:color="auto"/>
              <w:bottom w:val="single" w:sz="4" w:space="0" w:color="auto"/>
              <w:right w:val="single" w:sz="4" w:space="0" w:color="auto"/>
            </w:tcBorders>
            <w:vAlign w:val="center"/>
          </w:tcPr>
          <w:p w14:paraId="07C22E82" w14:textId="77777777" w:rsidR="00F71554" w:rsidRPr="00FF3072" w:rsidRDefault="00F71554" w:rsidP="00B54421">
            <w:pPr>
              <w:rPr>
                <w:rFonts w:asciiTheme="minorHAnsi" w:hAnsiTheme="minorHAnsi" w:cstheme="minorHAnsi"/>
                <w:b/>
                <w:szCs w:val="22"/>
              </w:rPr>
            </w:pPr>
            <w:r w:rsidRPr="00FF3072">
              <w:rPr>
                <w:rFonts w:asciiTheme="minorHAnsi" w:hAnsiTheme="minorHAnsi" w:cstheme="minorHAnsi"/>
                <w:b/>
                <w:szCs w:val="22"/>
              </w:rPr>
              <w:t xml:space="preserve">Employer’s Liability </w:t>
            </w:r>
            <w:r w:rsidRPr="00F479F8">
              <w:rPr>
                <w:rFonts w:asciiTheme="minorHAnsi" w:hAnsiTheme="minorHAnsi" w:cstheme="minorHAnsi"/>
                <w:b/>
                <w:szCs w:val="22"/>
                <w:u w:val="single"/>
              </w:rPr>
              <w:t>and Vicarious Liability</w:t>
            </w:r>
          </w:p>
          <w:p w14:paraId="3F7ED352" w14:textId="77777777" w:rsidR="00F71554" w:rsidRPr="00FF3072" w:rsidRDefault="00F71554" w:rsidP="00B54421">
            <w:pPr>
              <w:rPr>
                <w:rFonts w:asciiTheme="minorHAnsi" w:hAnsiTheme="minorHAnsi" w:cstheme="minorHAnsi"/>
                <w:b/>
                <w:szCs w:val="22"/>
              </w:rPr>
            </w:pPr>
            <w:r>
              <w:rPr>
                <w:rFonts w:asciiTheme="minorHAnsi" w:hAnsiTheme="minorHAnsi" w:cstheme="minorHAnsi"/>
                <w:b/>
                <w:szCs w:val="22"/>
              </w:rPr>
              <w:t xml:space="preserve">2 hours </w:t>
            </w:r>
            <w:r w:rsidRPr="00FF3072">
              <w:rPr>
                <w:rFonts w:asciiTheme="minorHAnsi" w:hAnsiTheme="minorHAnsi" w:cstheme="minorHAnsi"/>
                <w:b/>
                <w:szCs w:val="22"/>
              </w:rPr>
              <w:t>9.5%</w:t>
            </w:r>
          </w:p>
        </w:tc>
        <w:tc>
          <w:tcPr>
            <w:tcW w:w="3692" w:type="pct"/>
            <w:tcBorders>
              <w:top w:val="single" w:sz="4" w:space="0" w:color="auto"/>
              <w:left w:val="single" w:sz="4" w:space="0" w:color="auto"/>
              <w:bottom w:val="single" w:sz="4" w:space="0" w:color="auto"/>
              <w:right w:val="single" w:sz="4" w:space="0" w:color="auto"/>
            </w:tcBorders>
            <w:vAlign w:val="center"/>
          </w:tcPr>
          <w:p w14:paraId="7F7DBD10" w14:textId="77777777" w:rsidR="00F71554" w:rsidRPr="00FF3072" w:rsidRDefault="00F71554" w:rsidP="00B54421">
            <w:pPr>
              <w:rPr>
                <w:rFonts w:asciiTheme="minorHAnsi" w:hAnsiTheme="minorHAnsi" w:cstheme="minorHAnsi"/>
                <w:szCs w:val="22"/>
              </w:rPr>
            </w:pPr>
            <w:r w:rsidRPr="00FF3072">
              <w:rPr>
                <w:rFonts w:asciiTheme="minorHAnsi" w:hAnsiTheme="minorHAnsi" w:cstheme="minorHAnsi"/>
                <w:szCs w:val="22"/>
              </w:rPr>
              <w:t>Employer’s liability; definition of employee, duty of employer; vicarious liabil</w:t>
            </w:r>
            <w:r>
              <w:rPr>
                <w:rFonts w:asciiTheme="minorHAnsi" w:hAnsiTheme="minorHAnsi" w:cstheme="minorHAnsi"/>
                <w:szCs w:val="22"/>
              </w:rPr>
              <w:t>ity; course of employment test.</w:t>
            </w:r>
          </w:p>
        </w:tc>
      </w:tr>
      <w:tr w:rsidR="00F71554" w:rsidRPr="00FF3072" w14:paraId="330BCA32" w14:textId="77777777" w:rsidTr="00B54421">
        <w:tc>
          <w:tcPr>
            <w:tcW w:w="1308" w:type="pct"/>
            <w:tcBorders>
              <w:top w:val="single" w:sz="4" w:space="0" w:color="auto"/>
              <w:left w:val="single" w:sz="4" w:space="0" w:color="auto"/>
              <w:bottom w:val="single" w:sz="4" w:space="0" w:color="auto"/>
              <w:right w:val="single" w:sz="4" w:space="0" w:color="auto"/>
            </w:tcBorders>
            <w:vAlign w:val="center"/>
          </w:tcPr>
          <w:p w14:paraId="2987A427" w14:textId="77777777" w:rsidR="00F71554" w:rsidRPr="00F479F8" w:rsidRDefault="00F71554" w:rsidP="00B54421">
            <w:pPr>
              <w:rPr>
                <w:rFonts w:asciiTheme="minorHAnsi" w:hAnsiTheme="minorHAnsi" w:cstheme="minorHAnsi"/>
                <w:b/>
                <w:szCs w:val="22"/>
                <w:u w:val="single"/>
              </w:rPr>
            </w:pPr>
            <w:r w:rsidRPr="00F479F8">
              <w:rPr>
                <w:rFonts w:asciiTheme="minorHAnsi" w:hAnsiTheme="minorHAnsi" w:cstheme="minorHAnsi"/>
                <w:b/>
                <w:szCs w:val="22"/>
                <w:u w:val="single"/>
              </w:rPr>
              <w:t xml:space="preserve">Occupier’s Liability </w:t>
            </w:r>
          </w:p>
          <w:p w14:paraId="53B123EA" w14:textId="77777777" w:rsidR="00F71554" w:rsidRPr="00FF3072" w:rsidRDefault="00F71554" w:rsidP="00B54421">
            <w:pPr>
              <w:rPr>
                <w:rFonts w:asciiTheme="minorHAnsi" w:hAnsiTheme="minorHAnsi" w:cstheme="minorHAnsi"/>
                <w:b/>
                <w:szCs w:val="22"/>
              </w:rPr>
            </w:pPr>
            <w:r>
              <w:rPr>
                <w:rFonts w:asciiTheme="minorHAnsi" w:hAnsiTheme="minorHAnsi" w:cstheme="minorHAnsi"/>
                <w:b/>
                <w:szCs w:val="22"/>
              </w:rPr>
              <w:t>2 hours 9.5%</w:t>
            </w:r>
          </w:p>
        </w:tc>
        <w:tc>
          <w:tcPr>
            <w:tcW w:w="3692" w:type="pct"/>
            <w:tcBorders>
              <w:top w:val="single" w:sz="4" w:space="0" w:color="auto"/>
              <w:left w:val="single" w:sz="4" w:space="0" w:color="auto"/>
              <w:bottom w:val="single" w:sz="4" w:space="0" w:color="auto"/>
              <w:right w:val="single" w:sz="4" w:space="0" w:color="auto"/>
            </w:tcBorders>
            <w:vAlign w:val="center"/>
          </w:tcPr>
          <w:p w14:paraId="4DBBA73E" w14:textId="77777777" w:rsidR="00F71554" w:rsidRPr="00FF3072" w:rsidRDefault="00F71554" w:rsidP="00B54421">
            <w:pPr>
              <w:rPr>
                <w:rFonts w:asciiTheme="minorHAnsi" w:hAnsiTheme="minorHAnsi" w:cstheme="minorHAnsi"/>
                <w:szCs w:val="22"/>
              </w:rPr>
            </w:pPr>
            <w:r w:rsidRPr="00FF3072">
              <w:rPr>
                <w:rFonts w:asciiTheme="minorHAnsi" w:hAnsiTheme="minorHAnsi" w:cstheme="minorHAnsi"/>
                <w:szCs w:val="22"/>
              </w:rPr>
              <w:t xml:space="preserve">Occupier’s Liability Act 1995; definition of occupier and entrants; duties owed to entrants; reckless disregard. </w:t>
            </w:r>
          </w:p>
        </w:tc>
      </w:tr>
      <w:tr w:rsidR="00F71554" w:rsidRPr="00FF3072" w14:paraId="162CF83E" w14:textId="77777777" w:rsidTr="00B54421">
        <w:tc>
          <w:tcPr>
            <w:tcW w:w="1308" w:type="pct"/>
            <w:tcBorders>
              <w:top w:val="single" w:sz="4" w:space="0" w:color="auto"/>
              <w:left w:val="single" w:sz="4" w:space="0" w:color="auto"/>
              <w:bottom w:val="single" w:sz="4" w:space="0" w:color="auto"/>
              <w:right w:val="single" w:sz="4" w:space="0" w:color="auto"/>
            </w:tcBorders>
            <w:vAlign w:val="center"/>
          </w:tcPr>
          <w:p w14:paraId="66589D61" w14:textId="77777777" w:rsidR="00F71554" w:rsidRPr="00F479F8" w:rsidRDefault="00F71554" w:rsidP="00B54421">
            <w:pPr>
              <w:rPr>
                <w:rFonts w:asciiTheme="minorHAnsi" w:hAnsiTheme="minorHAnsi" w:cstheme="minorHAnsi"/>
                <w:b/>
                <w:szCs w:val="22"/>
                <w:u w:val="single"/>
              </w:rPr>
            </w:pPr>
            <w:r w:rsidRPr="00F479F8">
              <w:rPr>
                <w:rFonts w:asciiTheme="minorHAnsi" w:hAnsiTheme="minorHAnsi" w:cstheme="minorHAnsi"/>
                <w:b/>
                <w:szCs w:val="22"/>
                <w:u w:val="single"/>
              </w:rPr>
              <w:t>Torts related to land</w:t>
            </w:r>
          </w:p>
          <w:p w14:paraId="709A7B6F" w14:textId="77777777" w:rsidR="00F71554" w:rsidRPr="00FF3072" w:rsidRDefault="00F71554" w:rsidP="00B54421">
            <w:pPr>
              <w:rPr>
                <w:rFonts w:asciiTheme="minorHAnsi" w:hAnsiTheme="minorHAnsi" w:cstheme="minorHAnsi"/>
                <w:b/>
                <w:szCs w:val="22"/>
              </w:rPr>
            </w:pPr>
            <w:r>
              <w:rPr>
                <w:rFonts w:asciiTheme="minorHAnsi" w:hAnsiTheme="minorHAnsi" w:cstheme="minorHAnsi"/>
                <w:b/>
                <w:szCs w:val="22"/>
              </w:rPr>
              <w:t xml:space="preserve">4 hours </w:t>
            </w:r>
            <w:r w:rsidRPr="00FF3072">
              <w:rPr>
                <w:rFonts w:asciiTheme="minorHAnsi" w:hAnsiTheme="minorHAnsi" w:cstheme="minorHAnsi"/>
                <w:b/>
                <w:szCs w:val="22"/>
              </w:rPr>
              <w:t>19%</w:t>
            </w:r>
          </w:p>
        </w:tc>
        <w:tc>
          <w:tcPr>
            <w:tcW w:w="3692" w:type="pct"/>
            <w:tcBorders>
              <w:top w:val="single" w:sz="4" w:space="0" w:color="auto"/>
              <w:left w:val="single" w:sz="4" w:space="0" w:color="auto"/>
              <w:bottom w:val="single" w:sz="4" w:space="0" w:color="auto"/>
              <w:right w:val="single" w:sz="4" w:space="0" w:color="auto"/>
            </w:tcBorders>
            <w:vAlign w:val="center"/>
          </w:tcPr>
          <w:p w14:paraId="717E526C" w14:textId="77777777" w:rsidR="00F71554" w:rsidRPr="00FF3072" w:rsidRDefault="00F71554" w:rsidP="00B54421">
            <w:pPr>
              <w:rPr>
                <w:rFonts w:asciiTheme="minorHAnsi" w:hAnsiTheme="minorHAnsi" w:cstheme="minorHAnsi"/>
                <w:szCs w:val="22"/>
              </w:rPr>
            </w:pPr>
            <w:r w:rsidRPr="00FF3072">
              <w:rPr>
                <w:rFonts w:asciiTheme="minorHAnsi" w:hAnsiTheme="minorHAnsi" w:cstheme="minorHAnsi"/>
                <w:szCs w:val="22"/>
              </w:rPr>
              <w:t xml:space="preserve">Trespass to land, Nuisance, the Rule in </w:t>
            </w:r>
            <w:r w:rsidRPr="00FF3072">
              <w:rPr>
                <w:rFonts w:asciiTheme="minorHAnsi" w:hAnsiTheme="minorHAnsi" w:cstheme="minorHAnsi"/>
                <w:i/>
                <w:szCs w:val="22"/>
              </w:rPr>
              <w:t xml:space="preserve">Rylands v Fletcher, </w:t>
            </w:r>
            <w:r>
              <w:rPr>
                <w:rFonts w:asciiTheme="minorHAnsi" w:hAnsiTheme="minorHAnsi" w:cstheme="minorHAnsi"/>
                <w:szCs w:val="22"/>
              </w:rPr>
              <w:t xml:space="preserve">liability for fires. </w:t>
            </w:r>
          </w:p>
        </w:tc>
      </w:tr>
      <w:tr w:rsidR="00F71554" w:rsidRPr="00FF3072" w14:paraId="52A6DD6F" w14:textId="77777777" w:rsidTr="00B54421">
        <w:tc>
          <w:tcPr>
            <w:tcW w:w="1308" w:type="pct"/>
            <w:tcBorders>
              <w:top w:val="single" w:sz="4" w:space="0" w:color="auto"/>
              <w:left w:val="single" w:sz="4" w:space="0" w:color="auto"/>
              <w:bottom w:val="single" w:sz="4" w:space="0" w:color="auto"/>
              <w:right w:val="single" w:sz="4" w:space="0" w:color="auto"/>
            </w:tcBorders>
            <w:vAlign w:val="center"/>
          </w:tcPr>
          <w:p w14:paraId="563C1181" w14:textId="77777777" w:rsidR="00F71554" w:rsidRPr="00F479F8" w:rsidRDefault="00F71554" w:rsidP="00B54421">
            <w:pPr>
              <w:rPr>
                <w:rFonts w:asciiTheme="minorHAnsi" w:hAnsiTheme="minorHAnsi" w:cstheme="minorHAnsi"/>
                <w:b/>
                <w:szCs w:val="22"/>
                <w:u w:val="single"/>
              </w:rPr>
            </w:pPr>
            <w:r w:rsidRPr="00F479F8">
              <w:rPr>
                <w:rFonts w:asciiTheme="minorHAnsi" w:hAnsiTheme="minorHAnsi" w:cstheme="minorHAnsi"/>
                <w:b/>
                <w:szCs w:val="22"/>
                <w:u w:val="single"/>
              </w:rPr>
              <w:t>Defamation</w:t>
            </w:r>
          </w:p>
          <w:p w14:paraId="5978576E" w14:textId="77777777" w:rsidR="00F71554" w:rsidRPr="00FF3072" w:rsidRDefault="00F71554" w:rsidP="00B54421">
            <w:pPr>
              <w:rPr>
                <w:rFonts w:asciiTheme="minorHAnsi" w:hAnsiTheme="minorHAnsi" w:cstheme="minorHAnsi"/>
                <w:b/>
                <w:szCs w:val="22"/>
              </w:rPr>
            </w:pPr>
            <w:r>
              <w:rPr>
                <w:rFonts w:asciiTheme="minorHAnsi" w:hAnsiTheme="minorHAnsi" w:cstheme="minorHAnsi"/>
                <w:b/>
                <w:szCs w:val="22"/>
              </w:rPr>
              <w:t xml:space="preserve">2 hours </w:t>
            </w:r>
            <w:r w:rsidRPr="00FF3072">
              <w:rPr>
                <w:rFonts w:asciiTheme="minorHAnsi" w:hAnsiTheme="minorHAnsi" w:cstheme="minorHAnsi"/>
                <w:b/>
                <w:szCs w:val="22"/>
              </w:rPr>
              <w:t>9.5%</w:t>
            </w:r>
          </w:p>
        </w:tc>
        <w:tc>
          <w:tcPr>
            <w:tcW w:w="3692" w:type="pct"/>
            <w:tcBorders>
              <w:top w:val="single" w:sz="4" w:space="0" w:color="auto"/>
              <w:left w:val="single" w:sz="4" w:space="0" w:color="auto"/>
              <w:bottom w:val="single" w:sz="4" w:space="0" w:color="auto"/>
              <w:right w:val="single" w:sz="4" w:space="0" w:color="auto"/>
            </w:tcBorders>
            <w:vAlign w:val="center"/>
          </w:tcPr>
          <w:p w14:paraId="78BF016E" w14:textId="77777777" w:rsidR="00F71554" w:rsidRPr="00FF3072" w:rsidRDefault="00F71554" w:rsidP="00B54421">
            <w:pPr>
              <w:rPr>
                <w:rFonts w:asciiTheme="minorHAnsi" w:hAnsiTheme="minorHAnsi" w:cstheme="minorHAnsi"/>
                <w:szCs w:val="22"/>
              </w:rPr>
            </w:pPr>
            <w:r w:rsidRPr="00FF3072">
              <w:rPr>
                <w:rFonts w:asciiTheme="minorHAnsi" w:hAnsiTheme="minorHAnsi" w:cstheme="minorHAnsi"/>
                <w:szCs w:val="22"/>
              </w:rPr>
              <w:t>Libel, slander, reputation, identification, innuendo, defences, Defama</w:t>
            </w:r>
            <w:r>
              <w:rPr>
                <w:rFonts w:asciiTheme="minorHAnsi" w:hAnsiTheme="minorHAnsi" w:cstheme="minorHAnsi"/>
                <w:szCs w:val="22"/>
              </w:rPr>
              <w:t>tion Act 2009, reform, privacy.</w:t>
            </w:r>
            <w:r w:rsidRPr="00FF3072">
              <w:rPr>
                <w:rFonts w:asciiTheme="minorHAnsi" w:hAnsiTheme="minorHAnsi" w:cstheme="minorHAnsi"/>
                <w:szCs w:val="22"/>
              </w:rPr>
              <w:t xml:space="preserve"> </w:t>
            </w:r>
          </w:p>
        </w:tc>
      </w:tr>
      <w:tr w:rsidR="00F71554" w:rsidRPr="00FF3072" w14:paraId="5FFB7405" w14:textId="77777777" w:rsidTr="00B54421">
        <w:tc>
          <w:tcPr>
            <w:tcW w:w="1308" w:type="pct"/>
            <w:tcBorders>
              <w:top w:val="single" w:sz="4" w:space="0" w:color="auto"/>
              <w:left w:val="single" w:sz="4" w:space="0" w:color="auto"/>
              <w:bottom w:val="single" w:sz="4" w:space="0" w:color="auto"/>
              <w:right w:val="single" w:sz="4" w:space="0" w:color="auto"/>
            </w:tcBorders>
            <w:vAlign w:val="center"/>
          </w:tcPr>
          <w:p w14:paraId="6689CA8E" w14:textId="77777777" w:rsidR="00F71554" w:rsidRPr="00FF3072" w:rsidRDefault="00F71554" w:rsidP="00B54421">
            <w:pPr>
              <w:rPr>
                <w:rFonts w:asciiTheme="minorHAnsi" w:hAnsiTheme="minorHAnsi" w:cstheme="minorHAnsi"/>
                <w:b/>
                <w:szCs w:val="22"/>
              </w:rPr>
            </w:pPr>
            <w:r w:rsidRPr="00FF3072">
              <w:rPr>
                <w:rFonts w:asciiTheme="minorHAnsi" w:hAnsiTheme="minorHAnsi" w:cstheme="minorHAnsi"/>
                <w:b/>
                <w:szCs w:val="22"/>
              </w:rPr>
              <w:lastRenderedPageBreak/>
              <w:t xml:space="preserve">Liability for Defective </w:t>
            </w:r>
            <w:r w:rsidRPr="00F479F8">
              <w:rPr>
                <w:rFonts w:asciiTheme="minorHAnsi" w:hAnsiTheme="minorHAnsi" w:cstheme="minorHAnsi"/>
                <w:b/>
                <w:szCs w:val="22"/>
                <w:u w:val="single"/>
              </w:rPr>
              <w:t>Products</w:t>
            </w:r>
          </w:p>
          <w:p w14:paraId="4F2CA49E" w14:textId="77777777" w:rsidR="00F71554" w:rsidRPr="00FF3072" w:rsidRDefault="00F71554" w:rsidP="00B54421">
            <w:pPr>
              <w:rPr>
                <w:rFonts w:asciiTheme="minorHAnsi" w:hAnsiTheme="minorHAnsi" w:cstheme="minorHAnsi"/>
                <w:b/>
                <w:szCs w:val="22"/>
              </w:rPr>
            </w:pPr>
            <w:r>
              <w:rPr>
                <w:rFonts w:asciiTheme="minorHAnsi" w:hAnsiTheme="minorHAnsi" w:cstheme="minorHAnsi"/>
                <w:b/>
                <w:szCs w:val="22"/>
              </w:rPr>
              <w:t xml:space="preserve">2 hours </w:t>
            </w:r>
            <w:r w:rsidRPr="00FF3072">
              <w:rPr>
                <w:rFonts w:asciiTheme="minorHAnsi" w:hAnsiTheme="minorHAnsi" w:cstheme="minorHAnsi"/>
                <w:b/>
                <w:szCs w:val="22"/>
              </w:rPr>
              <w:t>9.5%</w:t>
            </w:r>
          </w:p>
        </w:tc>
        <w:tc>
          <w:tcPr>
            <w:tcW w:w="3692" w:type="pct"/>
            <w:tcBorders>
              <w:top w:val="single" w:sz="4" w:space="0" w:color="auto"/>
              <w:left w:val="single" w:sz="4" w:space="0" w:color="auto"/>
              <w:bottom w:val="single" w:sz="4" w:space="0" w:color="auto"/>
              <w:right w:val="single" w:sz="4" w:space="0" w:color="auto"/>
            </w:tcBorders>
            <w:vAlign w:val="center"/>
          </w:tcPr>
          <w:p w14:paraId="7EB424FA" w14:textId="77777777" w:rsidR="00F71554" w:rsidRPr="00F479F8" w:rsidRDefault="00F71554" w:rsidP="00B54421">
            <w:pPr>
              <w:rPr>
                <w:rFonts w:asciiTheme="minorHAnsi" w:hAnsiTheme="minorHAnsi" w:cstheme="minorHAnsi"/>
                <w:szCs w:val="22"/>
              </w:rPr>
            </w:pPr>
            <w:r w:rsidRPr="00FF3072">
              <w:rPr>
                <w:rFonts w:asciiTheme="minorHAnsi" w:hAnsiTheme="minorHAnsi" w:cstheme="minorHAnsi"/>
                <w:szCs w:val="22"/>
              </w:rPr>
              <w:t>The common law position, the Liability for Defective Produ</w:t>
            </w:r>
            <w:r>
              <w:rPr>
                <w:rFonts w:asciiTheme="minorHAnsi" w:hAnsiTheme="minorHAnsi" w:cstheme="minorHAnsi"/>
                <w:szCs w:val="22"/>
              </w:rPr>
              <w:t>cts Act 1991, strict liability.</w:t>
            </w:r>
          </w:p>
        </w:tc>
      </w:tr>
      <w:tr w:rsidR="00F71554" w:rsidRPr="00FF3072" w14:paraId="327DF251" w14:textId="77777777" w:rsidTr="00B54421">
        <w:tc>
          <w:tcPr>
            <w:tcW w:w="1308" w:type="pct"/>
            <w:tcBorders>
              <w:top w:val="single" w:sz="4" w:space="0" w:color="auto"/>
              <w:left w:val="single" w:sz="4" w:space="0" w:color="auto"/>
              <w:bottom w:val="single" w:sz="4" w:space="0" w:color="auto"/>
              <w:right w:val="single" w:sz="4" w:space="0" w:color="auto"/>
            </w:tcBorders>
            <w:vAlign w:val="center"/>
          </w:tcPr>
          <w:p w14:paraId="4C9EBE8E" w14:textId="77777777" w:rsidR="00F71554" w:rsidRPr="00F479F8" w:rsidRDefault="00F71554" w:rsidP="00B54421">
            <w:pPr>
              <w:rPr>
                <w:rFonts w:asciiTheme="minorHAnsi" w:hAnsiTheme="minorHAnsi" w:cstheme="minorHAnsi"/>
                <w:b/>
                <w:szCs w:val="22"/>
                <w:u w:val="single"/>
              </w:rPr>
            </w:pPr>
            <w:r w:rsidRPr="00F479F8">
              <w:rPr>
                <w:rFonts w:asciiTheme="minorHAnsi" w:hAnsiTheme="minorHAnsi" w:cstheme="minorHAnsi"/>
                <w:b/>
                <w:szCs w:val="22"/>
                <w:u w:val="single"/>
              </w:rPr>
              <w:t>Limitation of Actions</w:t>
            </w:r>
          </w:p>
          <w:p w14:paraId="01012628" w14:textId="77777777" w:rsidR="00F71554" w:rsidRPr="00FF3072" w:rsidRDefault="00F71554" w:rsidP="00B54421">
            <w:pPr>
              <w:rPr>
                <w:rFonts w:asciiTheme="minorHAnsi" w:hAnsiTheme="minorHAnsi" w:cstheme="minorHAnsi"/>
                <w:b/>
                <w:szCs w:val="22"/>
              </w:rPr>
            </w:pPr>
            <w:r>
              <w:rPr>
                <w:rFonts w:asciiTheme="minorHAnsi" w:hAnsiTheme="minorHAnsi" w:cstheme="minorHAnsi"/>
                <w:b/>
                <w:szCs w:val="22"/>
              </w:rPr>
              <w:t xml:space="preserve">1.33 hrs, </w:t>
            </w:r>
            <w:r w:rsidRPr="00FF3072">
              <w:rPr>
                <w:rFonts w:asciiTheme="minorHAnsi" w:hAnsiTheme="minorHAnsi" w:cstheme="minorHAnsi"/>
                <w:b/>
                <w:szCs w:val="22"/>
              </w:rPr>
              <w:t>6.33%</w:t>
            </w:r>
          </w:p>
        </w:tc>
        <w:tc>
          <w:tcPr>
            <w:tcW w:w="3692" w:type="pct"/>
            <w:tcBorders>
              <w:top w:val="single" w:sz="4" w:space="0" w:color="auto"/>
              <w:left w:val="single" w:sz="4" w:space="0" w:color="auto"/>
              <w:bottom w:val="single" w:sz="4" w:space="0" w:color="auto"/>
              <w:right w:val="single" w:sz="4" w:space="0" w:color="auto"/>
            </w:tcBorders>
            <w:vAlign w:val="center"/>
          </w:tcPr>
          <w:p w14:paraId="24217478" w14:textId="77777777" w:rsidR="00F71554" w:rsidRPr="00FF3072" w:rsidRDefault="00F71554" w:rsidP="00B54421">
            <w:pPr>
              <w:rPr>
                <w:rFonts w:asciiTheme="minorHAnsi" w:hAnsiTheme="minorHAnsi" w:cstheme="minorHAnsi"/>
                <w:szCs w:val="22"/>
              </w:rPr>
            </w:pPr>
            <w:r w:rsidRPr="00FF3072">
              <w:rPr>
                <w:rFonts w:asciiTheme="minorHAnsi" w:hAnsiTheme="minorHAnsi" w:cstheme="minorHAnsi"/>
                <w:szCs w:val="22"/>
              </w:rPr>
              <w:t xml:space="preserve">Limitation periods generally, limitation periods for personal injuries actions, accrual of the cause of action </w:t>
            </w:r>
            <w:r>
              <w:rPr>
                <w:rFonts w:asciiTheme="minorHAnsi" w:hAnsiTheme="minorHAnsi" w:cstheme="minorHAnsi"/>
                <w:szCs w:val="22"/>
              </w:rPr>
              <w:t>and persons under disabilities.</w:t>
            </w:r>
            <w:r w:rsidRPr="00FF3072">
              <w:rPr>
                <w:rFonts w:asciiTheme="minorHAnsi" w:hAnsiTheme="minorHAnsi" w:cstheme="minorHAnsi"/>
                <w:szCs w:val="22"/>
              </w:rPr>
              <w:t xml:space="preserve"> </w:t>
            </w:r>
          </w:p>
        </w:tc>
      </w:tr>
      <w:tr w:rsidR="00F71554" w:rsidRPr="00FF3072" w14:paraId="1A7AC66E" w14:textId="77777777" w:rsidTr="00B54421">
        <w:tc>
          <w:tcPr>
            <w:tcW w:w="1308" w:type="pct"/>
            <w:tcBorders>
              <w:top w:val="single" w:sz="4" w:space="0" w:color="auto"/>
              <w:left w:val="single" w:sz="4" w:space="0" w:color="auto"/>
              <w:bottom w:val="single" w:sz="4" w:space="0" w:color="auto"/>
              <w:right w:val="single" w:sz="4" w:space="0" w:color="auto"/>
            </w:tcBorders>
            <w:vAlign w:val="center"/>
          </w:tcPr>
          <w:p w14:paraId="24C5E0C9" w14:textId="77777777" w:rsidR="00F71554" w:rsidRPr="00F479F8" w:rsidRDefault="00F71554" w:rsidP="00B54421">
            <w:pPr>
              <w:rPr>
                <w:rFonts w:asciiTheme="minorHAnsi" w:hAnsiTheme="minorHAnsi" w:cstheme="minorHAnsi"/>
                <w:b/>
                <w:szCs w:val="22"/>
                <w:u w:val="single"/>
              </w:rPr>
            </w:pPr>
            <w:r w:rsidRPr="00F479F8">
              <w:rPr>
                <w:rFonts w:asciiTheme="minorHAnsi" w:hAnsiTheme="minorHAnsi" w:cstheme="minorHAnsi"/>
                <w:b/>
                <w:szCs w:val="22"/>
                <w:u w:val="single"/>
              </w:rPr>
              <w:t>Defences</w:t>
            </w:r>
          </w:p>
          <w:p w14:paraId="564D4890" w14:textId="77777777" w:rsidR="00F71554" w:rsidRPr="00FF3072" w:rsidRDefault="00F71554" w:rsidP="00B54421">
            <w:pPr>
              <w:rPr>
                <w:rFonts w:asciiTheme="minorHAnsi" w:hAnsiTheme="minorHAnsi" w:cstheme="minorHAnsi"/>
                <w:b/>
                <w:szCs w:val="22"/>
              </w:rPr>
            </w:pPr>
            <w:r>
              <w:rPr>
                <w:rFonts w:asciiTheme="minorHAnsi" w:hAnsiTheme="minorHAnsi" w:cstheme="minorHAnsi"/>
                <w:b/>
                <w:szCs w:val="22"/>
              </w:rPr>
              <w:t xml:space="preserve">1.33 hrs, </w:t>
            </w:r>
            <w:r w:rsidRPr="00FF3072">
              <w:rPr>
                <w:rFonts w:asciiTheme="minorHAnsi" w:hAnsiTheme="minorHAnsi" w:cstheme="minorHAnsi"/>
                <w:b/>
                <w:szCs w:val="22"/>
              </w:rPr>
              <w:t>6.33%</w:t>
            </w:r>
          </w:p>
        </w:tc>
        <w:tc>
          <w:tcPr>
            <w:tcW w:w="3692" w:type="pct"/>
            <w:tcBorders>
              <w:top w:val="single" w:sz="4" w:space="0" w:color="auto"/>
              <w:left w:val="single" w:sz="4" w:space="0" w:color="auto"/>
              <w:bottom w:val="single" w:sz="4" w:space="0" w:color="auto"/>
              <w:right w:val="single" w:sz="4" w:space="0" w:color="auto"/>
            </w:tcBorders>
            <w:vAlign w:val="center"/>
          </w:tcPr>
          <w:p w14:paraId="6DE58DB8" w14:textId="77777777" w:rsidR="00F71554" w:rsidRPr="00FF3072" w:rsidRDefault="00F71554" w:rsidP="00B54421">
            <w:pPr>
              <w:rPr>
                <w:rFonts w:asciiTheme="minorHAnsi" w:hAnsiTheme="minorHAnsi" w:cstheme="minorHAnsi"/>
                <w:szCs w:val="22"/>
              </w:rPr>
            </w:pPr>
            <w:r w:rsidRPr="00FF3072">
              <w:rPr>
                <w:rFonts w:asciiTheme="minorHAnsi" w:hAnsiTheme="minorHAnsi" w:cstheme="minorHAnsi"/>
                <w:szCs w:val="22"/>
              </w:rPr>
              <w:t xml:space="preserve">Contributory negligence, waiver, illegality </w:t>
            </w:r>
          </w:p>
        </w:tc>
      </w:tr>
      <w:tr w:rsidR="00F71554" w:rsidRPr="00FF3072" w14:paraId="5D145FA3" w14:textId="77777777" w:rsidTr="00B54421">
        <w:tc>
          <w:tcPr>
            <w:tcW w:w="1308" w:type="pct"/>
            <w:tcBorders>
              <w:top w:val="single" w:sz="4" w:space="0" w:color="auto"/>
              <w:left w:val="single" w:sz="4" w:space="0" w:color="auto"/>
              <w:bottom w:val="single" w:sz="4" w:space="0" w:color="auto"/>
              <w:right w:val="single" w:sz="4" w:space="0" w:color="auto"/>
            </w:tcBorders>
            <w:vAlign w:val="center"/>
          </w:tcPr>
          <w:p w14:paraId="731B23BA" w14:textId="77777777" w:rsidR="00F71554" w:rsidRPr="00F479F8" w:rsidRDefault="00F71554" w:rsidP="00B54421">
            <w:pPr>
              <w:rPr>
                <w:rFonts w:asciiTheme="minorHAnsi" w:hAnsiTheme="minorHAnsi" w:cstheme="minorHAnsi"/>
                <w:b/>
                <w:szCs w:val="22"/>
                <w:u w:val="single"/>
              </w:rPr>
            </w:pPr>
            <w:r w:rsidRPr="00F479F8">
              <w:rPr>
                <w:rFonts w:asciiTheme="minorHAnsi" w:hAnsiTheme="minorHAnsi" w:cstheme="minorHAnsi"/>
                <w:b/>
                <w:szCs w:val="22"/>
                <w:u w:val="single"/>
              </w:rPr>
              <w:t>Remedies</w:t>
            </w:r>
          </w:p>
          <w:p w14:paraId="7336987E" w14:textId="77777777" w:rsidR="00F71554" w:rsidRPr="00FF3072" w:rsidRDefault="00F71554" w:rsidP="00B54421">
            <w:pPr>
              <w:rPr>
                <w:rFonts w:asciiTheme="minorHAnsi" w:hAnsiTheme="minorHAnsi" w:cstheme="minorHAnsi"/>
                <w:b/>
                <w:szCs w:val="22"/>
              </w:rPr>
            </w:pPr>
            <w:r>
              <w:rPr>
                <w:rFonts w:asciiTheme="minorHAnsi" w:hAnsiTheme="minorHAnsi" w:cstheme="minorHAnsi"/>
                <w:b/>
                <w:szCs w:val="22"/>
              </w:rPr>
              <w:t xml:space="preserve">1.33 hrs, </w:t>
            </w:r>
            <w:r w:rsidRPr="00FF3072">
              <w:rPr>
                <w:rFonts w:asciiTheme="minorHAnsi" w:hAnsiTheme="minorHAnsi" w:cstheme="minorHAnsi"/>
                <w:b/>
                <w:szCs w:val="22"/>
              </w:rPr>
              <w:t>6.33%</w:t>
            </w:r>
          </w:p>
        </w:tc>
        <w:tc>
          <w:tcPr>
            <w:tcW w:w="3692" w:type="pct"/>
            <w:tcBorders>
              <w:top w:val="single" w:sz="4" w:space="0" w:color="auto"/>
              <w:left w:val="single" w:sz="4" w:space="0" w:color="auto"/>
              <w:bottom w:val="single" w:sz="4" w:space="0" w:color="auto"/>
              <w:right w:val="single" w:sz="4" w:space="0" w:color="auto"/>
            </w:tcBorders>
            <w:vAlign w:val="center"/>
          </w:tcPr>
          <w:p w14:paraId="108518C8" w14:textId="77777777" w:rsidR="00F71554" w:rsidRPr="00FF3072" w:rsidRDefault="00F71554" w:rsidP="00B54421">
            <w:pPr>
              <w:rPr>
                <w:rFonts w:asciiTheme="minorHAnsi" w:hAnsiTheme="minorHAnsi" w:cstheme="minorHAnsi"/>
                <w:szCs w:val="22"/>
              </w:rPr>
            </w:pPr>
            <w:r w:rsidRPr="00FF3072">
              <w:rPr>
                <w:rFonts w:asciiTheme="minorHAnsi" w:hAnsiTheme="minorHAnsi" w:cstheme="minorHAnsi"/>
                <w:szCs w:val="22"/>
              </w:rPr>
              <w:t>General Damages, special damages, aggravated da</w:t>
            </w:r>
            <w:r>
              <w:rPr>
                <w:rFonts w:asciiTheme="minorHAnsi" w:hAnsiTheme="minorHAnsi" w:cstheme="minorHAnsi"/>
                <w:szCs w:val="22"/>
              </w:rPr>
              <w:t>mages and exemplary damages.</w:t>
            </w:r>
          </w:p>
        </w:tc>
      </w:tr>
      <w:tr w:rsidR="00F71554" w:rsidRPr="00FF3072" w14:paraId="09D42244" w14:textId="77777777" w:rsidTr="00B54421">
        <w:tc>
          <w:tcPr>
            <w:tcW w:w="1308" w:type="pct"/>
            <w:tcBorders>
              <w:top w:val="single" w:sz="4" w:space="0" w:color="auto"/>
              <w:left w:val="single" w:sz="4" w:space="0" w:color="auto"/>
              <w:bottom w:val="single" w:sz="4" w:space="0" w:color="auto"/>
              <w:right w:val="single" w:sz="4" w:space="0" w:color="auto"/>
            </w:tcBorders>
            <w:vAlign w:val="center"/>
          </w:tcPr>
          <w:p w14:paraId="71A5C5C8" w14:textId="77777777" w:rsidR="00F71554" w:rsidRPr="00F479F8" w:rsidRDefault="00F71554" w:rsidP="00B54421">
            <w:pPr>
              <w:rPr>
                <w:rFonts w:asciiTheme="minorHAnsi" w:hAnsiTheme="minorHAnsi" w:cstheme="minorHAnsi"/>
                <w:b/>
                <w:szCs w:val="22"/>
                <w:u w:val="single"/>
              </w:rPr>
            </w:pPr>
            <w:r w:rsidRPr="00F479F8">
              <w:rPr>
                <w:rFonts w:asciiTheme="minorHAnsi" w:hAnsiTheme="minorHAnsi" w:cstheme="minorHAnsi"/>
                <w:b/>
                <w:szCs w:val="22"/>
                <w:u w:val="single"/>
              </w:rPr>
              <w:t xml:space="preserve">Revision </w:t>
            </w:r>
          </w:p>
          <w:p w14:paraId="7FA17420" w14:textId="77777777" w:rsidR="00F71554" w:rsidRPr="00FF3072" w:rsidRDefault="00F71554" w:rsidP="00B54421">
            <w:pPr>
              <w:rPr>
                <w:rFonts w:asciiTheme="minorHAnsi" w:hAnsiTheme="minorHAnsi" w:cstheme="minorHAnsi"/>
                <w:b/>
                <w:szCs w:val="22"/>
              </w:rPr>
            </w:pPr>
            <w:r>
              <w:rPr>
                <w:rFonts w:asciiTheme="minorHAnsi" w:hAnsiTheme="minorHAnsi" w:cstheme="minorHAnsi"/>
                <w:b/>
                <w:szCs w:val="22"/>
              </w:rPr>
              <w:t>1 hr, 5%</w:t>
            </w:r>
          </w:p>
        </w:tc>
        <w:tc>
          <w:tcPr>
            <w:tcW w:w="3692" w:type="pct"/>
            <w:tcBorders>
              <w:top w:val="single" w:sz="4" w:space="0" w:color="auto"/>
              <w:left w:val="single" w:sz="4" w:space="0" w:color="auto"/>
              <w:bottom w:val="single" w:sz="4" w:space="0" w:color="auto"/>
              <w:right w:val="single" w:sz="4" w:space="0" w:color="auto"/>
            </w:tcBorders>
            <w:vAlign w:val="center"/>
          </w:tcPr>
          <w:p w14:paraId="6FF0F42C" w14:textId="77777777" w:rsidR="00F71554" w:rsidRPr="00FF3072" w:rsidRDefault="00F71554" w:rsidP="00B54421">
            <w:pPr>
              <w:rPr>
                <w:rFonts w:asciiTheme="minorHAnsi" w:hAnsiTheme="minorHAnsi" w:cstheme="minorHAnsi"/>
                <w:szCs w:val="22"/>
              </w:rPr>
            </w:pPr>
            <w:r w:rsidRPr="00FF3072">
              <w:rPr>
                <w:rFonts w:asciiTheme="minorHAnsi" w:hAnsiTheme="minorHAnsi" w:cstheme="minorHAnsi"/>
                <w:szCs w:val="22"/>
              </w:rPr>
              <w:t xml:space="preserve">Revision and exam preparation. </w:t>
            </w:r>
          </w:p>
        </w:tc>
      </w:tr>
    </w:tbl>
    <w:p w14:paraId="2A333BEF" w14:textId="77777777" w:rsidR="00F71554" w:rsidRDefault="00F71554" w:rsidP="00F71554">
      <w:pPr>
        <w:rPr>
          <w:rFonts w:asciiTheme="minorHAnsi" w:hAnsiTheme="minorHAnsi" w:cstheme="minorHAnsi"/>
          <w:szCs w:val="22"/>
        </w:rPr>
      </w:pPr>
    </w:p>
    <w:p w14:paraId="0A8F0044" w14:textId="77777777" w:rsidR="00F71554" w:rsidRPr="00F479F8" w:rsidRDefault="00F71554" w:rsidP="00F71554">
      <w:pPr>
        <w:pStyle w:val="Heading3"/>
      </w:pPr>
      <w:r w:rsidRPr="00F479F8">
        <w:t>Module teaching and learning (including formative assessment) strategy</w:t>
      </w:r>
    </w:p>
    <w:p w14:paraId="2B09EC46" w14:textId="77777777" w:rsidR="00F71554" w:rsidRPr="00FF3072" w:rsidRDefault="00F71554" w:rsidP="00F71554">
      <w:pPr>
        <w:jc w:val="both"/>
        <w:rPr>
          <w:rFonts w:asciiTheme="minorHAnsi" w:hAnsiTheme="minorHAnsi" w:cstheme="minorHAnsi"/>
          <w:color w:val="000000" w:themeColor="text1"/>
          <w:szCs w:val="22"/>
        </w:rPr>
      </w:pPr>
      <w:r w:rsidRPr="00FF3072">
        <w:rPr>
          <w:rFonts w:asciiTheme="minorHAnsi" w:hAnsiTheme="minorHAnsi" w:cstheme="minorHAnsi"/>
          <w:szCs w:val="22"/>
        </w:rPr>
        <w:t>T</w:t>
      </w:r>
      <w:r>
        <w:rPr>
          <w:rFonts w:asciiTheme="minorHAnsi" w:hAnsiTheme="minorHAnsi" w:cstheme="minorHAnsi"/>
          <w:szCs w:val="22"/>
        </w:rPr>
        <w:t>his module is</w:t>
      </w:r>
      <w:r w:rsidRPr="00FF3072">
        <w:rPr>
          <w:rFonts w:asciiTheme="minorHAnsi" w:hAnsiTheme="minorHAnsi" w:cstheme="minorHAnsi"/>
          <w:szCs w:val="22"/>
        </w:rPr>
        <w:t xml:space="preserve"> delivered through a series of lectures. Learners engage with the module</w:t>
      </w:r>
      <w:r>
        <w:rPr>
          <w:rFonts w:asciiTheme="minorHAnsi" w:hAnsiTheme="minorHAnsi" w:cstheme="minorHAnsi"/>
          <w:szCs w:val="22"/>
        </w:rPr>
        <w:t xml:space="preserve"> either in class; online via the</w:t>
      </w:r>
      <w:r w:rsidRPr="00FF3072">
        <w:rPr>
          <w:rFonts w:asciiTheme="minorHAnsi" w:hAnsiTheme="minorHAnsi" w:cstheme="minorHAnsi"/>
          <w:szCs w:val="22"/>
        </w:rPr>
        <w:t xml:space="preserve"> online streaming option or via recorded lectures. On</w:t>
      </w:r>
      <w:r>
        <w:rPr>
          <w:rFonts w:asciiTheme="minorHAnsi" w:hAnsiTheme="minorHAnsi" w:cstheme="minorHAnsi"/>
          <w:szCs w:val="22"/>
        </w:rPr>
        <w:t xml:space="preserve"> Moodle, virtual learning environment</w:t>
      </w:r>
      <w:r w:rsidRPr="00FF3072">
        <w:rPr>
          <w:rFonts w:asciiTheme="minorHAnsi" w:hAnsiTheme="minorHAnsi" w:cstheme="minorHAnsi"/>
          <w:szCs w:val="22"/>
        </w:rPr>
        <w:t>, the lecturer can interact wit</w:t>
      </w:r>
      <w:r>
        <w:rPr>
          <w:rFonts w:asciiTheme="minorHAnsi" w:hAnsiTheme="minorHAnsi" w:cstheme="minorHAnsi"/>
          <w:szCs w:val="22"/>
        </w:rPr>
        <w:t>h learners</w:t>
      </w:r>
      <w:r w:rsidRPr="00FF3072">
        <w:rPr>
          <w:rFonts w:asciiTheme="minorHAnsi" w:hAnsiTheme="minorHAnsi" w:cstheme="minorHAnsi"/>
          <w:szCs w:val="22"/>
        </w:rPr>
        <w:t xml:space="preserve"> via the class discussion forum and upload relevant additional learning material e.g. legal articles, case law, study aids and relevant multimedia. The module comprises of 21 contact hours, being 20 lecture hours and one revision/exam preparation class. Formative assessment is provided in the form of interactive exercises such as tutorial style discussions, quizzes, directed class discussion topics and collaborative group work.</w:t>
      </w:r>
      <w:r>
        <w:rPr>
          <w:rFonts w:asciiTheme="minorHAnsi" w:hAnsiTheme="minorHAnsi" w:cstheme="minorHAnsi"/>
          <w:szCs w:val="22"/>
        </w:rPr>
        <w:t xml:space="preserve"> </w:t>
      </w:r>
      <w:r w:rsidRPr="00FF3072">
        <w:rPr>
          <w:rFonts w:asciiTheme="minorHAnsi" w:hAnsiTheme="minorHAnsi" w:cstheme="minorHAnsi"/>
          <w:szCs w:val="22"/>
        </w:rPr>
        <w:t xml:space="preserve"> </w:t>
      </w:r>
    </w:p>
    <w:p w14:paraId="36B9FC6B" w14:textId="77777777" w:rsidR="00F71554" w:rsidRPr="00FF3072" w:rsidRDefault="00F71554" w:rsidP="00F71554">
      <w:pPr>
        <w:rPr>
          <w:rFonts w:asciiTheme="minorHAnsi" w:hAnsiTheme="minorHAnsi" w:cstheme="minorHAnsi"/>
          <w:szCs w:val="22"/>
        </w:rPr>
      </w:pPr>
    </w:p>
    <w:p w14:paraId="1815572F" w14:textId="77777777" w:rsidR="00F71554" w:rsidRPr="00F479F8" w:rsidRDefault="00F71554" w:rsidP="00F71554">
      <w:pPr>
        <w:pStyle w:val="Heading3"/>
      </w:pPr>
      <w:r w:rsidRPr="00F479F8">
        <w:t>Work-based learning and practice-placement</w:t>
      </w:r>
    </w:p>
    <w:p w14:paraId="05BE7667" w14:textId="77777777" w:rsidR="00F71554" w:rsidRPr="00FF3072" w:rsidRDefault="00F71554" w:rsidP="00F71554">
      <w:pPr>
        <w:rPr>
          <w:rFonts w:asciiTheme="minorHAnsi" w:hAnsiTheme="minorHAnsi" w:cstheme="minorHAnsi"/>
          <w:szCs w:val="22"/>
        </w:rPr>
      </w:pPr>
      <w:r>
        <w:rPr>
          <w:rFonts w:asciiTheme="minorHAnsi" w:hAnsiTheme="minorHAnsi" w:cstheme="minorHAnsi"/>
          <w:szCs w:val="22"/>
        </w:rPr>
        <w:t>There is no work-</w:t>
      </w:r>
      <w:r w:rsidRPr="00FF3072">
        <w:rPr>
          <w:rFonts w:asciiTheme="minorHAnsi" w:hAnsiTheme="minorHAnsi" w:cstheme="minorHAnsi"/>
          <w:szCs w:val="22"/>
        </w:rPr>
        <w:t>based learning or practical placement in the module.</w:t>
      </w:r>
    </w:p>
    <w:p w14:paraId="76D0F61A" w14:textId="77777777" w:rsidR="00F71554" w:rsidRPr="00FF3072" w:rsidRDefault="00F71554" w:rsidP="00F71554">
      <w:pPr>
        <w:rPr>
          <w:rFonts w:asciiTheme="minorHAnsi" w:hAnsiTheme="minorHAnsi" w:cstheme="minorHAnsi"/>
          <w:szCs w:val="22"/>
        </w:rPr>
      </w:pPr>
    </w:p>
    <w:p w14:paraId="497E357C" w14:textId="77777777" w:rsidR="00F71554" w:rsidRPr="00F479F8" w:rsidRDefault="00F71554" w:rsidP="00F71554">
      <w:pPr>
        <w:pStyle w:val="Heading3"/>
      </w:pPr>
      <w:r w:rsidRPr="00F479F8">
        <w:t>E-learning</w:t>
      </w:r>
    </w:p>
    <w:p w14:paraId="09D6C193" w14:textId="77777777" w:rsidR="00F71554" w:rsidRPr="00FF3072" w:rsidRDefault="00F71554" w:rsidP="00F71554">
      <w:pPr>
        <w:jc w:val="both"/>
        <w:rPr>
          <w:rFonts w:asciiTheme="minorHAnsi" w:hAnsiTheme="minorHAnsi" w:cstheme="minorHAnsi"/>
          <w:szCs w:val="22"/>
        </w:rPr>
      </w:pPr>
      <w:r w:rsidRPr="00FF3072">
        <w:rPr>
          <w:rFonts w:asciiTheme="minorHAnsi" w:hAnsiTheme="minorHAnsi" w:cstheme="minorHAnsi"/>
          <w:szCs w:val="22"/>
        </w:rPr>
        <w:t xml:space="preserve">Griffith College uses Moodle, a virtual learning environment, to support its delivery of e-learning activities in the form of peer-to-peer support based around activities where </w:t>
      </w:r>
      <w:r>
        <w:rPr>
          <w:rFonts w:asciiTheme="minorHAnsi" w:hAnsiTheme="minorHAnsi" w:cstheme="minorHAnsi"/>
          <w:szCs w:val="22"/>
        </w:rPr>
        <w:t>learners</w:t>
      </w:r>
      <w:r w:rsidRPr="00FF3072">
        <w:rPr>
          <w:rFonts w:asciiTheme="minorHAnsi" w:hAnsiTheme="minorHAnsi" w:cstheme="minorHAnsi"/>
          <w:szCs w:val="22"/>
        </w:rPr>
        <w:t xml:space="preserve"> give and receive feedback, forums where </w:t>
      </w:r>
      <w:r>
        <w:rPr>
          <w:rFonts w:asciiTheme="minorHAnsi" w:hAnsiTheme="minorHAnsi" w:cstheme="minorHAnsi"/>
          <w:szCs w:val="22"/>
        </w:rPr>
        <w:t>learners</w:t>
      </w:r>
      <w:r w:rsidRPr="00FF3072">
        <w:rPr>
          <w:rFonts w:asciiTheme="minorHAnsi" w:hAnsiTheme="minorHAnsi" w:cstheme="minorHAnsi"/>
          <w:szCs w:val="22"/>
        </w:rPr>
        <w:t xml:space="preserve"> must contribute, formative quizzes and video links.</w:t>
      </w:r>
    </w:p>
    <w:p w14:paraId="0ECCCA9E" w14:textId="77777777" w:rsidR="00F71554" w:rsidRDefault="00F71554" w:rsidP="00F71554">
      <w:pPr>
        <w:suppressAutoHyphens w:val="0"/>
        <w:spacing w:line="259" w:lineRule="auto"/>
        <w:rPr>
          <w:rFonts w:asciiTheme="minorHAnsi" w:hAnsiTheme="minorHAnsi" w:cstheme="minorHAnsi"/>
          <w:szCs w:val="22"/>
        </w:rPr>
      </w:pPr>
    </w:p>
    <w:p w14:paraId="6185DB4D" w14:textId="77777777" w:rsidR="00F71554" w:rsidRPr="00F479F8" w:rsidRDefault="00F71554" w:rsidP="00F71554">
      <w:pPr>
        <w:pStyle w:val="Heading3"/>
      </w:pPr>
      <w:r w:rsidRPr="00F479F8">
        <w:t>Module physical resource requirements</w:t>
      </w:r>
    </w:p>
    <w:p w14:paraId="673AF2E2" w14:textId="77777777" w:rsidR="00F71554" w:rsidRPr="00FF3072" w:rsidRDefault="00F71554" w:rsidP="00F71554">
      <w:pPr>
        <w:jc w:val="both"/>
        <w:rPr>
          <w:rFonts w:asciiTheme="minorHAnsi" w:hAnsiTheme="minorHAnsi" w:cstheme="minorHAnsi"/>
          <w:szCs w:val="22"/>
        </w:rPr>
      </w:pPr>
      <w:r w:rsidRPr="00FF3072">
        <w:rPr>
          <w:rFonts w:asciiTheme="minorHAnsi" w:hAnsiTheme="minorHAnsi" w:cstheme="minorHAnsi"/>
          <w:szCs w:val="22"/>
        </w:rPr>
        <w:t xml:space="preserve">Requirements are for a fully equipped classroom. The classroom has </w:t>
      </w:r>
      <w:r>
        <w:rPr>
          <w:rFonts w:asciiTheme="minorHAnsi" w:hAnsiTheme="minorHAnsi" w:cstheme="minorHAnsi"/>
          <w:szCs w:val="22"/>
        </w:rPr>
        <w:t>Wi-Fi</w:t>
      </w:r>
      <w:r w:rsidRPr="00FF3072">
        <w:rPr>
          <w:rFonts w:asciiTheme="minorHAnsi" w:hAnsiTheme="minorHAnsi" w:cstheme="minorHAnsi"/>
          <w:szCs w:val="22"/>
        </w:rPr>
        <w:t xml:space="preserve"> access and is equipped with a PC with Zoom and Microsoft Office. In addition the classroom has digital recording facilities and digital projector. No other softwa</w:t>
      </w:r>
      <w:r>
        <w:rPr>
          <w:rFonts w:asciiTheme="minorHAnsi" w:hAnsiTheme="minorHAnsi" w:cstheme="minorHAnsi"/>
          <w:szCs w:val="22"/>
        </w:rPr>
        <w:t xml:space="preserve">re is required for this module. </w:t>
      </w:r>
      <w:r w:rsidRPr="00FF3072">
        <w:rPr>
          <w:rFonts w:asciiTheme="minorHAnsi" w:hAnsiTheme="minorHAnsi" w:cstheme="minorHAnsi"/>
          <w:szCs w:val="22"/>
        </w:rPr>
        <w:t>The College library has a dedicated law section and also online legal research tools including Justice One, Westlaw, Hein Online.</w:t>
      </w:r>
    </w:p>
    <w:p w14:paraId="5B84C71B" w14:textId="77777777" w:rsidR="00F71554" w:rsidRPr="00FF3072" w:rsidRDefault="00F71554" w:rsidP="00F71554">
      <w:pPr>
        <w:rPr>
          <w:rFonts w:asciiTheme="minorHAnsi" w:hAnsiTheme="minorHAnsi" w:cstheme="minorHAnsi"/>
          <w:szCs w:val="22"/>
        </w:rPr>
      </w:pPr>
    </w:p>
    <w:p w14:paraId="0FD72C15" w14:textId="77777777" w:rsidR="00F71554" w:rsidRPr="00F479F8" w:rsidRDefault="00F71554" w:rsidP="00F71554">
      <w:pPr>
        <w:pStyle w:val="Heading3"/>
      </w:pPr>
      <w:r w:rsidRPr="00F479F8">
        <w:t>Reading lists and other information resources</w:t>
      </w:r>
    </w:p>
    <w:p w14:paraId="4CC2C9DD" w14:textId="77777777" w:rsidR="00F71554" w:rsidRDefault="00F71554" w:rsidP="00F71554">
      <w:pPr>
        <w:rPr>
          <w:rFonts w:asciiTheme="minorHAnsi" w:hAnsiTheme="minorHAnsi" w:cstheme="minorHAnsi"/>
          <w:b/>
          <w:color w:val="000000" w:themeColor="text1"/>
          <w:szCs w:val="22"/>
        </w:rPr>
      </w:pPr>
    </w:p>
    <w:p w14:paraId="67C711E1" w14:textId="77777777" w:rsidR="00F71554" w:rsidRPr="00FF3072" w:rsidRDefault="00F71554" w:rsidP="00F71554">
      <w:pPr>
        <w:rPr>
          <w:rFonts w:asciiTheme="minorHAnsi" w:hAnsiTheme="minorHAnsi" w:cstheme="minorHAnsi"/>
          <w:b/>
          <w:color w:val="000000" w:themeColor="text1"/>
          <w:szCs w:val="22"/>
        </w:rPr>
      </w:pPr>
      <w:r w:rsidRPr="00FF3072">
        <w:rPr>
          <w:rFonts w:asciiTheme="minorHAnsi" w:hAnsiTheme="minorHAnsi" w:cstheme="minorHAnsi"/>
          <w:b/>
          <w:color w:val="000000" w:themeColor="text1"/>
          <w:szCs w:val="22"/>
        </w:rPr>
        <w:t>Primary reading</w:t>
      </w:r>
    </w:p>
    <w:p w14:paraId="5B05C279" w14:textId="77777777" w:rsidR="00F71554" w:rsidRPr="00F479F8" w:rsidRDefault="00F71554" w:rsidP="00F71554">
      <w:pPr>
        <w:ind w:left="1080" w:right="520" w:hanging="1080"/>
        <w:rPr>
          <w:rFonts w:asciiTheme="minorHAnsi" w:hAnsiTheme="minorHAnsi" w:cstheme="minorHAnsi"/>
          <w:color w:val="000000" w:themeColor="text1"/>
          <w:szCs w:val="22"/>
        </w:rPr>
      </w:pPr>
      <w:r w:rsidRPr="00F479F8">
        <w:rPr>
          <w:rFonts w:asciiTheme="minorHAnsi" w:hAnsiTheme="minorHAnsi" w:cstheme="minorHAnsi"/>
          <w:color w:val="000000" w:themeColor="text1"/>
          <w:szCs w:val="22"/>
        </w:rPr>
        <w:t xml:space="preserve">McMahon and </w:t>
      </w:r>
      <w:proofErr w:type="spellStart"/>
      <w:r w:rsidRPr="00F479F8">
        <w:rPr>
          <w:rFonts w:asciiTheme="minorHAnsi" w:hAnsiTheme="minorHAnsi" w:cstheme="minorHAnsi"/>
          <w:color w:val="000000" w:themeColor="text1"/>
          <w:szCs w:val="22"/>
        </w:rPr>
        <w:t>Binchy</w:t>
      </w:r>
      <w:proofErr w:type="spellEnd"/>
      <w:r w:rsidRPr="00F479F8">
        <w:rPr>
          <w:rFonts w:asciiTheme="minorHAnsi" w:hAnsiTheme="minorHAnsi" w:cstheme="minorHAnsi"/>
          <w:color w:val="000000" w:themeColor="text1"/>
          <w:szCs w:val="22"/>
        </w:rPr>
        <w:t>, Law of Torts (2013, Dublin; Bloomsbury Professional)</w:t>
      </w:r>
    </w:p>
    <w:p w14:paraId="07027EB7" w14:textId="77777777" w:rsidR="00F71554" w:rsidRPr="00F479F8" w:rsidRDefault="00F71554" w:rsidP="00F71554">
      <w:pPr>
        <w:ind w:left="1080" w:right="520" w:hanging="1080"/>
        <w:rPr>
          <w:rFonts w:asciiTheme="minorHAnsi" w:hAnsiTheme="minorHAnsi" w:cstheme="minorHAnsi"/>
          <w:color w:val="000000" w:themeColor="text1"/>
          <w:szCs w:val="22"/>
        </w:rPr>
      </w:pPr>
      <w:r w:rsidRPr="00F479F8">
        <w:rPr>
          <w:rFonts w:asciiTheme="minorHAnsi" w:hAnsiTheme="minorHAnsi" w:cstheme="minorHAnsi"/>
          <w:color w:val="000000" w:themeColor="text1"/>
          <w:szCs w:val="22"/>
        </w:rPr>
        <w:t xml:space="preserve">Quill, Torts in Ireland (2014, Dublin; Gill) </w:t>
      </w:r>
    </w:p>
    <w:p w14:paraId="05C3F565" w14:textId="77777777" w:rsidR="00F71554" w:rsidRPr="00FF3072" w:rsidRDefault="00F71554" w:rsidP="00F71554">
      <w:pPr>
        <w:ind w:left="284" w:right="520" w:hanging="284"/>
        <w:rPr>
          <w:rFonts w:asciiTheme="minorHAnsi" w:hAnsiTheme="minorHAnsi" w:cstheme="minorHAnsi"/>
          <w:color w:val="000000" w:themeColor="text1"/>
          <w:szCs w:val="22"/>
        </w:rPr>
      </w:pPr>
    </w:p>
    <w:p w14:paraId="49A9DF09" w14:textId="77777777" w:rsidR="00F71554" w:rsidRPr="00FF3072" w:rsidRDefault="00F71554" w:rsidP="00F71554">
      <w:pPr>
        <w:rPr>
          <w:rFonts w:asciiTheme="minorHAnsi" w:hAnsiTheme="minorHAnsi" w:cstheme="minorHAnsi"/>
          <w:b/>
          <w:color w:val="000000" w:themeColor="text1"/>
          <w:szCs w:val="22"/>
        </w:rPr>
      </w:pPr>
      <w:r w:rsidRPr="00FF3072">
        <w:rPr>
          <w:rFonts w:asciiTheme="minorHAnsi" w:hAnsiTheme="minorHAnsi" w:cstheme="minorHAnsi"/>
          <w:b/>
          <w:color w:val="000000" w:themeColor="text1"/>
          <w:szCs w:val="22"/>
        </w:rPr>
        <w:t>Secondary reading</w:t>
      </w:r>
    </w:p>
    <w:p w14:paraId="14DE30B7" w14:textId="77777777" w:rsidR="00F71554" w:rsidRPr="00FF3072" w:rsidRDefault="00F71554" w:rsidP="00F71554">
      <w:pPr>
        <w:ind w:left="1080" w:right="520" w:hanging="10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 xml:space="preserve">Canny, Limitations of Actions (2016, Dublin, </w:t>
      </w:r>
      <w:proofErr w:type="spellStart"/>
      <w:r w:rsidRPr="00FF3072">
        <w:rPr>
          <w:rFonts w:asciiTheme="minorHAnsi" w:hAnsiTheme="minorHAnsi" w:cstheme="minorHAnsi"/>
          <w:color w:val="000000" w:themeColor="text1"/>
          <w:szCs w:val="22"/>
        </w:rPr>
        <w:t>Roundhall</w:t>
      </w:r>
      <w:proofErr w:type="spellEnd"/>
      <w:r w:rsidRPr="00FF3072">
        <w:rPr>
          <w:rFonts w:asciiTheme="minorHAnsi" w:hAnsiTheme="minorHAnsi" w:cstheme="minorHAnsi"/>
          <w:color w:val="000000" w:themeColor="text1"/>
          <w:szCs w:val="22"/>
        </w:rPr>
        <w:t>)</w:t>
      </w:r>
    </w:p>
    <w:p w14:paraId="2AFFAB28" w14:textId="77777777" w:rsidR="00F71554" w:rsidRPr="00FF3072" w:rsidRDefault="00F71554" w:rsidP="00F71554">
      <w:pPr>
        <w:ind w:left="1080" w:right="520" w:hanging="10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Cox and McCullough, Defamation Law and Practice (2014, Dublin, Clarus Press)</w:t>
      </w:r>
    </w:p>
    <w:p w14:paraId="2D55ECBB" w14:textId="77777777" w:rsidR="00F71554" w:rsidRPr="00FF3072" w:rsidRDefault="00F71554" w:rsidP="00F71554">
      <w:pPr>
        <w:ind w:left="1080" w:right="520" w:hanging="10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 xml:space="preserve">Jennings and Scannell, The Law of Personal Injuries (2016, Dublin, </w:t>
      </w:r>
      <w:proofErr w:type="spellStart"/>
      <w:r w:rsidRPr="00FF3072">
        <w:rPr>
          <w:rFonts w:asciiTheme="minorHAnsi" w:hAnsiTheme="minorHAnsi" w:cstheme="minorHAnsi"/>
          <w:color w:val="000000" w:themeColor="text1"/>
          <w:szCs w:val="22"/>
        </w:rPr>
        <w:t>Roundhall</w:t>
      </w:r>
      <w:proofErr w:type="spellEnd"/>
      <w:r w:rsidRPr="00FF3072">
        <w:rPr>
          <w:rFonts w:asciiTheme="minorHAnsi" w:hAnsiTheme="minorHAnsi" w:cstheme="minorHAnsi"/>
          <w:color w:val="000000" w:themeColor="text1"/>
          <w:szCs w:val="22"/>
        </w:rPr>
        <w:t>)</w:t>
      </w:r>
    </w:p>
    <w:p w14:paraId="54679B8C" w14:textId="77777777" w:rsidR="00F71554" w:rsidRPr="00FF3072" w:rsidRDefault="00F71554" w:rsidP="00F71554">
      <w:pPr>
        <w:ind w:left="1080" w:right="520" w:hanging="10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Salmond and Huston, Law of Torts (1996, London, Sweet &amp; Maxwell)</w:t>
      </w:r>
    </w:p>
    <w:p w14:paraId="25C72CFE" w14:textId="77777777" w:rsidR="00F71554" w:rsidRPr="00FF3072" w:rsidRDefault="00F71554" w:rsidP="00F71554">
      <w:pPr>
        <w:rPr>
          <w:rFonts w:asciiTheme="minorHAnsi" w:hAnsiTheme="minorHAnsi" w:cstheme="minorHAnsi"/>
          <w:color w:val="000000" w:themeColor="text1"/>
          <w:szCs w:val="22"/>
        </w:rPr>
      </w:pPr>
    </w:p>
    <w:p w14:paraId="6515CBA9" w14:textId="77777777" w:rsidR="00F71554" w:rsidRPr="00F479F8" w:rsidRDefault="00F71554" w:rsidP="00F71554">
      <w:pPr>
        <w:pStyle w:val="Heading3"/>
      </w:pPr>
      <w:r w:rsidRPr="00F479F8">
        <w:t>Specifications for module staffing requirements</w:t>
      </w:r>
    </w:p>
    <w:p w14:paraId="103305DD" w14:textId="77777777" w:rsidR="00F71554" w:rsidRPr="00FF3072" w:rsidRDefault="00F71554" w:rsidP="00F71554">
      <w:pPr>
        <w:jc w:val="both"/>
        <w:rPr>
          <w:b/>
          <w:bCs/>
          <w:color w:val="000000" w:themeColor="text1"/>
        </w:rPr>
      </w:pPr>
      <w:r w:rsidRPr="00325408">
        <w:t xml:space="preserve">Lecturers expected to hold at minimum a Level 8 legal qualification, preferably with a professional legal qualification. It is an advantage to have completed the Certificate in Education, Learning and Development provided by Griffith College. </w:t>
      </w:r>
      <w:r w:rsidRPr="00325408">
        <w:rPr>
          <w:bCs/>
        </w:rPr>
        <w:t>Industry experience is beneficial but not a requirement.</w:t>
      </w:r>
    </w:p>
    <w:p w14:paraId="10749F3E" w14:textId="77777777" w:rsidR="00F71554" w:rsidRPr="00F479F8" w:rsidRDefault="00F71554" w:rsidP="00F71554">
      <w:pPr>
        <w:pStyle w:val="Heading3"/>
      </w:pPr>
      <w:r w:rsidRPr="00F479F8">
        <w:lastRenderedPageBreak/>
        <w:t xml:space="preserve">Module summative assessment strategy </w:t>
      </w:r>
    </w:p>
    <w:p w14:paraId="650DCA97" w14:textId="77777777" w:rsidR="00F71554" w:rsidRPr="00330401" w:rsidRDefault="00F71554" w:rsidP="00F71554">
      <w:pPr>
        <w:pStyle w:val="NormalWeb"/>
        <w:spacing w:before="0" w:beforeAutospacing="0" w:after="0" w:afterAutospacing="0"/>
        <w:jc w:val="both"/>
        <w:rPr>
          <w:rFonts w:ascii="Calibri" w:hAnsi="Calibri" w:cstheme="minorHAnsi"/>
          <w:color w:val="000000"/>
          <w:sz w:val="22"/>
          <w:szCs w:val="22"/>
        </w:rPr>
      </w:pPr>
      <w:r w:rsidRPr="00330401">
        <w:rPr>
          <w:rFonts w:ascii="Calibri" w:hAnsi="Calibri" w:cstheme="minorHAnsi"/>
          <w:color w:val="000000"/>
          <w:sz w:val="22"/>
          <w:szCs w:val="22"/>
        </w:rPr>
        <w:t xml:space="preserve">Theoretical knowledge will be assessed at the end of the module by practical assignment , which requires </w:t>
      </w:r>
      <w:r>
        <w:rPr>
          <w:rFonts w:ascii="Calibri" w:hAnsi="Calibri" w:cstheme="minorHAnsi"/>
          <w:color w:val="000000"/>
          <w:sz w:val="22"/>
          <w:szCs w:val="22"/>
        </w:rPr>
        <w:t>learner</w:t>
      </w:r>
      <w:r w:rsidRPr="00330401">
        <w:rPr>
          <w:rFonts w:ascii="Calibri" w:hAnsi="Calibri" w:cstheme="minorHAnsi"/>
          <w:color w:val="000000"/>
          <w:sz w:val="22"/>
          <w:szCs w:val="22"/>
        </w:rPr>
        <w:t>s to advise a fictional client in a problem-based question (worth 60% of overall grade). Emphasis is placed on the demonstration of effective academic writing and an analysis of key concepts or topics on the programme. The practical assignment question is a comprehensive problem-style question, aimed at assessing the learner’s ability to apply the law to practical, factual scenarios.</w:t>
      </w:r>
    </w:p>
    <w:p w14:paraId="5D21DE1E" w14:textId="77777777" w:rsidR="00F71554" w:rsidRPr="00330401" w:rsidRDefault="00F71554" w:rsidP="00F71554">
      <w:pPr>
        <w:pStyle w:val="NormalWeb"/>
        <w:spacing w:before="0" w:beforeAutospacing="0" w:after="0" w:afterAutospacing="0"/>
        <w:jc w:val="both"/>
        <w:rPr>
          <w:rFonts w:ascii="Calibri" w:hAnsi="Calibri" w:cstheme="minorHAnsi"/>
          <w:color w:val="000000"/>
          <w:sz w:val="22"/>
          <w:szCs w:val="22"/>
        </w:rPr>
      </w:pPr>
    </w:p>
    <w:p w14:paraId="775307E0" w14:textId="77777777" w:rsidR="00F71554" w:rsidRDefault="00F71554" w:rsidP="00F71554">
      <w:pPr>
        <w:jc w:val="both"/>
        <w:rPr>
          <w:rFonts w:cstheme="minorHAnsi"/>
          <w:color w:val="000000"/>
          <w:szCs w:val="22"/>
        </w:rPr>
      </w:pPr>
      <w:r w:rsidRPr="00330401">
        <w:rPr>
          <w:rFonts w:cstheme="minorHAnsi"/>
          <w:color w:val="000000"/>
          <w:szCs w:val="22"/>
        </w:rPr>
        <w:t>The assessment will be supplemented by a more traditional assignment (worth 40% of overall grade), which will be essay-based and aimed at enabling learners to use the legal research and academic writing skills taught in class. The following table indicates the module’s learning outcomes’ alignment with the assessment used for the module:</w:t>
      </w:r>
    </w:p>
    <w:p w14:paraId="47621A8E" w14:textId="77777777" w:rsidR="00F71554" w:rsidRPr="00FF3072" w:rsidRDefault="00F71554" w:rsidP="00F71554">
      <w:pPr>
        <w:jc w:val="both"/>
        <w:rPr>
          <w:rFonts w:asciiTheme="minorHAnsi" w:hAnsiTheme="minorHAnsi" w:cstheme="minorHAnsi"/>
          <w:szCs w:val="22"/>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103"/>
        <w:gridCol w:w="1773"/>
        <w:gridCol w:w="1295"/>
      </w:tblGrid>
      <w:tr w:rsidR="00F71554" w:rsidRPr="00FF3072" w14:paraId="5DFC0B8B" w14:textId="77777777" w:rsidTr="00B54421">
        <w:tc>
          <w:tcPr>
            <w:tcW w:w="846" w:type="dxa"/>
            <w:shd w:val="clear" w:color="auto" w:fill="D9E2F3" w:themeFill="accent1" w:themeFillTint="33"/>
            <w:vAlign w:val="center"/>
          </w:tcPr>
          <w:p w14:paraId="19A18EEF" w14:textId="77777777" w:rsidR="00F71554" w:rsidRPr="00FF3072" w:rsidRDefault="00F71554" w:rsidP="00B54421">
            <w:pPr>
              <w:pStyle w:val="AAValidation"/>
              <w:spacing w:line="240" w:lineRule="auto"/>
              <w:jc w:val="center"/>
              <w:rPr>
                <w:rFonts w:eastAsiaTheme="minorHAnsi" w:cstheme="minorHAnsi"/>
                <w:b/>
                <w:color w:val="auto"/>
                <w:szCs w:val="22"/>
                <w:lang w:val="en-IE"/>
              </w:rPr>
            </w:pPr>
            <w:r w:rsidRPr="00FF3072">
              <w:rPr>
                <w:rFonts w:eastAsiaTheme="minorHAnsi" w:cstheme="minorHAnsi"/>
                <w:b/>
                <w:color w:val="auto"/>
                <w:szCs w:val="22"/>
                <w:lang w:val="en-IE"/>
              </w:rPr>
              <w:t>No.</w:t>
            </w:r>
          </w:p>
        </w:tc>
        <w:tc>
          <w:tcPr>
            <w:tcW w:w="5103" w:type="dxa"/>
            <w:shd w:val="clear" w:color="auto" w:fill="D9E2F3" w:themeFill="accent1" w:themeFillTint="33"/>
            <w:vAlign w:val="center"/>
          </w:tcPr>
          <w:p w14:paraId="65F51607" w14:textId="77777777" w:rsidR="00F71554" w:rsidRPr="00FF3072" w:rsidRDefault="00F71554" w:rsidP="00B54421">
            <w:pPr>
              <w:pStyle w:val="AAValidation"/>
              <w:spacing w:line="240" w:lineRule="auto"/>
              <w:jc w:val="left"/>
              <w:rPr>
                <w:rFonts w:eastAsiaTheme="minorHAnsi" w:cstheme="minorHAnsi"/>
                <w:b/>
                <w:color w:val="auto"/>
                <w:szCs w:val="22"/>
                <w:lang w:val="en-IE"/>
              </w:rPr>
            </w:pPr>
            <w:r w:rsidRPr="00FF3072">
              <w:rPr>
                <w:rFonts w:eastAsiaTheme="minorHAnsi" w:cstheme="minorHAnsi"/>
                <w:b/>
                <w:color w:val="auto"/>
                <w:szCs w:val="22"/>
                <w:lang w:val="en-IE"/>
              </w:rPr>
              <w:t>Description</w:t>
            </w:r>
          </w:p>
        </w:tc>
        <w:tc>
          <w:tcPr>
            <w:tcW w:w="1773" w:type="dxa"/>
            <w:shd w:val="clear" w:color="auto" w:fill="D9E2F3" w:themeFill="accent1" w:themeFillTint="33"/>
            <w:vAlign w:val="center"/>
          </w:tcPr>
          <w:p w14:paraId="065AF505" w14:textId="77777777" w:rsidR="00F71554" w:rsidRPr="00FF3072" w:rsidRDefault="00F71554" w:rsidP="00B54421">
            <w:pPr>
              <w:pStyle w:val="AAValidation"/>
              <w:spacing w:line="240" w:lineRule="auto"/>
              <w:jc w:val="left"/>
              <w:rPr>
                <w:rFonts w:eastAsiaTheme="minorHAnsi" w:cstheme="minorHAnsi"/>
                <w:b/>
                <w:color w:val="auto"/>
                <w:szCs w:val="22"/>
                <w:lang w:val="en-IE"/>
              </w:rPr>
            </w:pPr>
            <w:r w:rsidRPr="00FF3072">
              <w:rPr>
                <w:rFonts w:eastAsiaTheme="minorHAnsi" w:cstheme="minorHAnsi"/>
                <w:b/>
                <w:color w:val="auto"/>
                <w:szCs w:val="22"/>
                <w:lang w:val="en-IE"/>
              </w:rPr>
              <w:t>MIMLOs</w:t>
            </w:r>
          </w:p>
        </w:tc>
        <w:tc>
          <w:tcPr>
            <w:tcW w:w="1295" w:type="dxa"/>
            <w:shd w:val="clear" w:color="auto" w:fill="D9E2F3" w:themeFill="accent1" w:themeFillTint="33"/>
            <w:vAlign w:val="center"/>
          </w:tcPr>
          <w:p w14:paraId="6A767890" w14:textId="77777777" w:rsidR="00F71554" w:rsidRPr="00FF3072" w:rsidRDefault="00F71554" w:rsidP="00B54421">
            <w:pPr>
              <w:pStyle w:val="AAValidation"/>
              <w:spacing w:line="240" w:lineRule="auto"/>
              <w:jc w:val="center"/>
              <w:rPr>
                <w:rFonts w:eastAsiaTheme="minorHAnsi" w:cstheme="minorHAnsi"/>
                <w:b/>
                <w:color w:val="auto"/>
                <w:szCs w:val="22"/>
                <w:lang w:val="en-IE"/>
              </w:rPr>
            </w:pPr>
            <w:r w:rsidRPr="00FF3072">
              <w:rPr>
                <w:rFonts w:eastAsiaTheme="minorHAnsi" w:cstheme="minorHAnsi"/>
                <w:b/>
                <w:color w:val="auto"/>
                <w:szCs w:val="22"/>
                <w:lang w:val="en-IE"/>
              </w:rPr>
              <w:t>Weighting</w:t>
            </w:r>
          </w:p>
        </w:tc>
      </w:tr>
      <w:tr w:rsidR="00F71554" w:rsidRPr="00FF3072" w14:paraId="66771C5F" w14:textId="77777777" w:rsidTr="00B54421">
        <w:tc>
          <w:tcPr>
            <w:tcW w:w="846" w:type="dxa"/>
            <w:vAlign w:val="center"/>
          </w:tcPr>
          <w:p w14:paraId="2953CE88" w14:textId="77777777" w:rsidR="00F71554" w:rsidRPr="00FF3072" w:rsidRDefault="00F71554" w:rsidP="00B54421">
            <w:pPr>
              <w:pStyle w:val="AAValidation"/>
              <w:spacing w:line="240" w:lineRule="auto"/>
              <w:jc w:val="center"/>
              <w:rPr>
                <w:rFonts w:eastAsiaTheme="minorHAnsi" w:cstheme="minorHAnsi"/>
                <w:color w:val="auto"/>
                <w:szCs w:val="22"/>
                <w:lang w:val="en-IE"/>
              </w:rPr>
            </w:pPr>
            <w:r w:rsidRPr="00FF3072">
              <w:rPr>
                <w:rFonts w:cstheme="minorHAnsi"/>
                <w:color w:val="auto"/>
                <w:szCs w:val="22"/>
                <w:lang w:val="en-IE"/>
              </w:rPr>
              <w:t>1</w:t>
            </w:r>
          </w:p>
        </w:tc>
        <w:tc>
          <w:tcPr>
            <w:tcW w:w="5103" w:type="dxa"/>
            <w:shd w:val="clear" w:color="auto" w:fill="auto"/>
            <w:vAlign w:val="center"/>
          </w:tcPr>
          <w:p w14:paraId="0F26F4A0" w14:textId="77777777" w:rsidR="00F71554" w:rsidRPr="00457375" w:rsidRDefault="00F71554" w:rsidP="00B54421">
            <w:pPr>
              <w:pStyle w:val="AAValidation"/>
              <w:spacing w:line="240" w:lineRule="auto"/>
              <w:jc w:val="left"/>
              <w:rPr>
                <w:rFonts w:eastAsiaTheme="minorHAnsi" w:cstheme="minorHAnsi"/>
                <w:color w:val="auto"/>
                <w:szCs w:val="22"/>
                <w:lang w:val="en-IE"/>
              </w:rPr>
            </w:pPr>
            <w:r w:rsidRPr="00457375">
              <w:rPr>
                <w:rFonts w:eastAsiaTheme="minorHAnsi" w:cstheme="minorHAnsi"/>
                <w:color w:val="auto"/>
                <w:szCs w:val="22"/>
                <w:lang w:val="en-IE"/>
              </w:rPr>
              <w:t>Essay</w:t>
            </w:r>
          </w:p>
        </w:tc>
        <w:tc>
          <w:tcPr>
            <w:tcW w:w="1773" w:type="dxa"/>
            <w:vAlign w:val="center"/>
          </w:tcPr>
          <w:p w14:paraId="648360F6" w14:textId="77777777" w:rsidR="00F71554" w:rsidRPr="00FF3072" w:rsidRDefault="00F71554" w:rsidP="00B54421">
            <w:pPr>
              <w:pStyle w:val="AAValidation"/>
              <w:spacing w:line="240" w:lineRule="auto"/>
              <w:jc w:val="center"/>
              <w:rPr>
                <w:rFonts w:eastAsiaTheme="minorHAnsi" w:cstheme="minorHAnsi"/>
                <w:color w:val="auto"/>
                <w:szCs w:val="22"/>
                <w:lang w:val="en-IE"/>
              </w:rPr>
            </w:pPr>
            <w:r w:rsidRPr="00AA08FE">
              <w:rPr>
                <w:rFonts w:eastAsiaTheme="minorHAnsi" w:cstheme="minorHAnsi"/>
                <w:color w:val="auto"/>
                <w:szCs w:val="22"/>
                <w:lang w:val="en-IE"/>
              </w:rPr>
              <w:t>(</w:t>
            </w:r>
            <w:proofErr w:type="spellStart"/>
            <w:r w:rsidRPr="00AA08FE">
              <w:rPr>
                <w:rFonts w:eastAsiaTheme="minorHAnsi" w:cstheme="minorHAnsi"/>
                <w:color w:val="auto"/>
                <w:szCs w:val="22"/>
                <w:lang w:val="en-IE"/>
              </w:rPr>
              <w:t>i</w:t>
            </w:r>
            <w:proofErr w:type="spellEnd"/>
            <w:r w:rsidRPr="00AA08FE">
              <w:rPr>
                <w:rFonts w:eastAsiaTheme="minorHAnsi" w:cstheme="minorHAnsi"/>
                <w:color w:val="auto"/>
                <w:szCs w:val="22"/>
                <w:lang w:val="en-IE"/>
              </w:rPr>
              <w:t>) to (</w:t>
            </w:r>
            <w:r>
              <w:rPr>
                <w:rFonts w:eastAsiaTheme="minorHAnsi" w:cstheme="minorHAnsi"/>
                <w:color w:val="auto"/>
                <w:szCs w:val="22"/>
                <w:lang w:val="en-IE"/>
              </w:rPr>
              <w:t>i</w:t>
            </w:r>
            <w:r w:rsidRPr="00AA08FE">
              <w:rPr>
                <w:rFonts w:eastAsiaTheme="minorHAnsi" w:cstheme="minorHAnsi"/>
                <w:color w:val="auto"/>
                <w:szCs w:val="22"/>
                <w:lang w:val="en-IE"/>
              </w:rPr>
              <w:t>v)</w:t>
            </w:r>
          </w:p>
        </w:tc>
        <w:tc>
          <w:tcPr>
            <w:tcW w:w="1295" w:type="dxa"/>
            <w:vAlign w:val="center"/>
          </w:tcPr>
          <w:p w14:paraId="1F2B981C" w14:textId="77777777" w:rsidR="00F71554" w:rsidRPr="00FF3072" w:rsidRDefault="00F71554" w:rsidP="00B54421">
            <w:pPr>
              <w:pStyle w:val="AAValidation"/>
              <w:spacing w:line="240" w:lineRule="auto"/>
              <w:jc w:val="center"/>
              <w:rPr>
                <w:rFonts w:eastAsiaTheme="minorHAnsi" w:cstheme="minorHAnsi"/>
                <w:color w:val="auto"/>
                <w:szCs w:val="22"/>
                <w:lang w:val="en-IE"/>
              </w:rPr>
            </w:pPr>
            <w:r w:rsidRPr="00FF3072">
              <w:rPr>
                <w:rFonts w:eastAsiaTheme="minorHAnsi" w:cstheme="minorHAnsi"/>
                <w:color w:val="auto"/>
                <w:szCs w:val="22"/>
                <w:lang w:val="en-IE"/>
              </w:rPr>
              <w:t>40</w:t>
            </w:r>
          </w:p>
        </w:tc>
      </w:tr>
      <w:tr w:rsidR="00F71554" w:rsidRPr="00FF3072" w14:paraId="34E45693" w14:textId="77777777" w:rsidTr="00B54421">
        <w:tc>
          <w:tcPr>
            <w:tcW w:w="846" w:type="dxa"/>
            <w:vAlign w:val="center"/>
          </w:tcPr>
          <w:p w14:paraId="02885D2E" w14:textId="77777777" w:rsidR="00F71554" w:rsidRPr="00FF3072" w:rsidRDefault="00F71554" w:rsidP="00B54421">
            <w:pPr>
              <w:pStyle w:val="AAValidation"/>
              <w:spacing w:line="240" w:lineRule="auto"/>
              <w:jc w:val="center"/>
              <w:rPr>
                <w:rFonts w:eastAsiaTheme="minorHAnsi" w:cstheme="minorHAnsi"/>
                <w:color w:val="auto"/>
                <w:szCs w:val="22"/>
                <w:lang w:val="en-IE"/>
              </w:rPr>
            </w:pPr>
            <w:r w:rsidRPr="00FF3072">
              <w:rPr>
                <w:rFonts w:cstheme="minorHAnsi"/>
                <w:color w:val="auto"/>
                <w:szCs w:val="22"/>
                <w:lang w:val="en-IE"/>
              </w:rPr>
              <w:t>2</w:t>
            </w:r>
          </w:p>
        </w:tc>
        <w:tc>
          <w:tcPr>
            <w:tcW w:w="5103" w:type="dxa"/>
            <w:shd w:val="clear" w:color="auto" w:fill="auto"/>
            <w:vAlign w:val="center"/>
          </w:tcPr>
          <w:p w14:paraId="446B5A12" w14:textId="77777777" w:rsidR="00F71554" w:rsidRPr="00457375" w:rsidRDefault="00F71554" w:rsidP="00B54421">
            <w:pPr>
              <w:pStyle w:val="AAValidation"/>
              <w:spacing w:line="240" w:lineRule="auto"/>
              <w:jc w:val="left"/>
              <w:rPr>
                <w:rFonts w:eastAsiaTheme="minorHAnsi" w:cstheme="minorHAnsi"/>
                <w:color w:val="auto"/>
                <w:szCs w:val="22"/>
                <w:lang w:val="en-IE"/>
              </w:rPr>
            </w:pPr>
            <w:r>
              <w:rPr>
                <w:rFonts w:eastAsiaTheme="minorHAnsi" w:cstheme="minorHAnsi"/>
                <w:color w:val="auto"/>
                <w:szCs w:val="22"/>
                <w:lang w:val="en-IE"/>
              </w:rPr>
              <w:t>Problem-based practical assignment</w:t>
            </w:r>
          </w:p>
        </w:tc>
        <w:tc>
          <w:tcPr>
            <w:tcW w:w="1773" w:type="dxa"/>
            <w:vAlign w:val="center"/>
          </w:tcPr>
          <w:p w14:paraId="656B2C65" w14:textId="77777777" w:rsidR="00F71554" w:rsidRPr="00FF3072" w:rsidRDefault="00F71554" w:rsidP="00B54421">
            <w:pPr>
              <w:pStyle w:val="AAValidation"/>
              <w:spacing w:line="240" w:lineRule="auto"/>
              <w:jc w:val="center"/>
              <w:rPr>
                <w:rFonts w:eastAsiaTheme="minorHAnsi" w:cstheme="minorHAnsi"/>
                <w:color w:val="auto"/>
                <w:szCs w:val="22"/>
                <w:lang w:val="en-IE"/>
              </w:rPr>
            </w:pPr>
            <w:r w:rsidRPr="00AA08FE">
              <w:rPr>
                <w:rFonts w:eastAsiaTheme="minorHAnsi" w:cstheme="minorHAnsi"/>
                <w:color w:val="auto"/>
                <w:szCs w:val="22"/>
                <w:lang w:val="en-IE"/>
              </w:rPr>
              <w:t>(</w:t>
            </w:r>
            <w:proofErr w:type="spellStart"/>
            <w:r w:rsidRPr="00AA08FE">
              <w:rPr>
                <w:rFonts w:eastAsiaTheme="minorHAnsi" w:cstheme="minorHAnsi"/>
                <w:color w:val="auto"/>
                <w:szCs w:val="22"/>
                <w:lang w:val="en-IE"/>
              </w:rPr>
              <w:t>i</w:t>
            </w:r>
            <w:proofErr w:type="spellEnd"/>
            <w:r w:rsidRPr="00AA08FE">
              <w:rPr>
                <w:rFonts w:eastAsiaTheme="minorHAnsi" w:cstheme="minorHAnsi"/>
                <w:color w:val="auto"/>
                <w:szCs w:val="22"/>
                <w:lang w:val="en-IE"/>
              </w:rPr>
              <w:t>) to (</w:t>
            </w:r>
            <w:r>
              <w:rPr>
                <w:rFonts w:eastAsiaTheme="minorHAnsi" w:cstheme="minorHAnsi"/>
                <w:color w:val="auto"/>
                <w:szCs w:val="22"/>
                <w:lang w:val="en-IE"/>
              </w:rPr>
              <w:t>i</w:t>
            </w:r>
            <w:r w:rsidRPr="00AA08FE">
              <w:rPr>
                <w:rFonts w:eastAsiaTheme="minorHAnsi" w:cstheme="minorHAnsi"/>
                <w:color w:val="auto"/>
                <w:szCs w:val="22"/>
                <w:lang w:val="en-IE"/>
              </w:rPr>
              <w:t>v)</w:t>
            </w:r>
          </w:p>
        </w:tc>
        <w:tc>
          <w:tcPr>
            <w:tcW w:w="1295" w:type="dxa"/>
            <w:vAlign w:val="center"/>
          </w:tcPr>
          <w:p w14:paraId="5B9316F3" w14:textId="77777777" w:rsidR="00F71554" w:rsidRPr="00FF3072" w:rsidRDefault="00F71554" w:rsidP="00B54421">
            <w:pPr>
              <w:pStyle w:val="AAValidation"/>
              <w:spacing w:line="240" w:lineRule="auto"/>
              <w:jc w:val="center"/>
              <w:rPr>
                <w:rFonts w:eastAsiaTheme="minorHAnsi" w:cstheme="minorHAnsi"/>
                <w:color w:val="auto"/>
                <w:szCs w:val="22"/>
                <w:lang w:val="en-IE"/>
              </w:rPr>
            </w:pPr>
            <w:r w:rsidRPr="00FF3072">
              <w:rPr>
                <w:rFonts w:eastAsiaTheme="minorHAnsi" w:cstheme="minorHAnsi"/>
                <w:color w:val="auto"/>
                <w:szCs w:val="22"/>
                <w:lang w:val="en-IE"/>
              </w:rPr>
              <w:t>60</w:t>
            </w:r>
          </w:p>
        </w:tc>
      </w:tr>
    </w:tbl>
    <w:p w14:paraId="36DA0744" w14:textId="77777777" w:rsidR="00F71554" w:rsidRPr="00FF3072" w:rsidRDefault="00F71554" w:rsidP="00F71554">
      <w:pPr>
        <w:rPr>
          <w:rFonts w:asciiTheme="minorHAnsi" w:hAnsiTheme="minorHAnsi" w:cstheme="minorHAnsi"/>
          <w:color w:val="808080" w:themeColor="background1" w:themeShade="80"/>
          <w:szCs w:val="22"/>
        </w:rPr>
      </w:pPr>
    </w:p>
    <w:p w14:paraId="65558894" w14:textId="77777777" w:rsidR="00F71554" w:rsidRDefault="00F71554" w:rsidP="00F71554">
      <w:pPr>
        <w:jc w:val="both"/>
        <w:rPr>
          <w:rFonts w:asciiTheme="minorHAnsi" w:hAnsiTheme="minorHAnsi" w:cstheme="minorHAnsi"/>
          <w:szCs w:val="22"/>
        </w:rPr>
      </w:pPr>
      <w:r w:rsidRPr="00FF3072">
        <w:rPr>
          <w:rFonts w:asciiTheme="minorHAnsi" w:hAnsiTheme="minorHAnsi" w:cstheme="minorHAnsi"/>
          <w:b/>
          <w:szCs w:val="22"/>
        </w:rPr>
        <w:t>Reassessment/Repeat assessment strategy:</w:t>
      </w:r>
      <w:r w:rsidRPr="00FF3072">
        <w:rPr>
          <w:rFonts w:asciiTheme="minorHAnsi" w:hAnsiTheme="minorHAnsi" w:cstheme="minorHAnsi"/>
          <w:szCs w:val="22"/>
        </w:rPr>
        <w:t xml:space="preserve"> Griffith College regulations state that learners must pass all component elements of the module to be deemed to have passed the module. </w:t>
      </w:r>
    </w:p>
    <w:p w14:paraId="1D657D8B" w14:textId="77777777" w:rsidR="00F71554" w:rsidRPr="00FF3072" w:rsidRDefault="00F71554" w:rsidP="00F71554">
      <w:pPr>
        <w:jc w:val="both"/>
        <w:rPr>
          <w:rFonts w:asciiTheme="minorHAnsi" w:hAnsiTheme="minorHAnsi" w:cstheme="minorHAnsi"/>
          <w:szCs w:val="22"/>
        </w:rPr>
      </w:pPr>
    </w:p>
    <w:p w14:paraId="598E06ED" w14:textId="77777777" w:rsidR="00F71554" w:rsidRPr="00FF3072" w:rsidRDefault="00F71554" w:rsidP="00F71554">
      <w:pPr>
        <w:pStyle w:val="ListParagraph"/>
        <w:numPr>
          <w:ilvl w:val="0"/>
          <w:numId w:val="1"/>
        </w:numPr>
        <w:rPr>
          <w:rFonts w:asciiTheme="minorHAnsi" w:hAnsiTheme="minorHAnsi" w:cstheme="minorHAnsi"/>
          <w:szCs w:val="22"/>
        </w:rPr>
      </w:pPr>
      <w:r w:rsidRPr="00FF3072">
        <w:rPr>
          <w:rFonts w:asciiTheme="minorHAnsi" w:hAnsiTheme="minorHAnsi" w:cstheme="minorHAnsi"/>
          <w:szCs w:val="22"/>
        </w:rPr>
        <w:t>In the event of a learner failing components of / this module, they will be required to submit a new individual repeat assignment which will be made available on Moodle to learners, and which must be submitted as per faculty instructions.</w:t>
      </w:r>
    </w:p>
    <w:p w14:paraId="38AC8C3D" w14:textId="77777777" w:rsidR="00F71554" w:rsidRPr="00FF3072" w:rsidRDefault="00F71554" w:rsidP="00F71554">
      <w:pPr>
        <w:pStyle w:val="ListParagraph"/>
        <w:numPr>
          <w:ilvl w:val="0"/>
          <w:numId w:val="1"/>
        </w:numPr>
        <w:rPr>
          <w:rFonts w:asciiTheme="minorHAnsi" w:hAnsiTheme="minorHAnsi" w:cstheme="minorHAnsi"/>
          <w:szCs w:val="22"/>
        </w:rPr>
      </w:pPr>
      <w:r w:rsidRPr="00FF3072">
        <w:rPr>
          <w:rFonts w:asciiTheme="minorHAnsi" w:hAnsiTheme="minorHAnsi" w:cstheme="minorHAnsi"/>
          <w:szCs w:val="22"/>
        </w:rPr>
        <w:t>In the event of a learner failing the group assessment element of this module, a new individual repeat assignment will be made available on Moodle to learners which must be submitted as per faculty instructions.</w:t>
      </w:r>
    </w:p>
    <w:p w14:paraId="4E8CC757" w14:textId="77777777" w:rsidR="00F71554" w:rsidRPr="00FF3072" w:rsidRDefault="00F71554" w:rsidP="00F71554">
      <w:pPr>
        <w:pStyle w:val="ListParagraph"/>
        <w:numPr>
          <w:ilvl w:val="0"/>
          <w:numId w:val="1"/>
        </w:numPr>
        <w:rPr>
          <w:rFonts w:asciiTheme="minorHAnsi" w:hAnsiTheme="minorHAnsi" w:cstheme="minorHAnsi"/>
          <w:szCs w:val="22"/>
        </w:rPr>
      </w:pPr>
      <w:r w:rsidRPr="00FF3072">
        <w:rPr>
          <w:rFonts w:asciiTheme="minorHAnsi" w:hAnsiTheme="minorHAnsi" w:cstheme="minorHAnsi"/>
          <w:szCs w:val="22"/>
        </w:rPr>
        <w:t xml:space="preserve">In the event of the learner failing the exam, learners will take the re-sit exam at the next available sitting, details of which will be made available to learners via Moodle. </w:t>
      </w:r>
    </w:p>
    <w:p w14:paraId="09C843E1" w14:textId="77777777" w:rsidR="00F71554" w:rsidRPr="00FF3072" w:rsidRDefault="00F71554" w:rsidP="00F71554">
      <w:pPr>
        <w:rPr>
          <w:rFonts w:asciiTheme="minorHAnsi" w:hAnsiTheme="minorHAnsi" w:cstheme="minorHAnsi"/>
          <w:szCs w:val="22"/>
        </w:rPr>
      </w:pPr>
    </w:p>
    <w:p w14:paraId="62E0B819" w14:textId="77777777" w:rsidR="00F71554" w:rsidRPr="00945B80" w:rsidRDefault="00F71554" w:rsidP="00F71554">
      <w:pPr>
        <w:pStyle w:val="Heading3"/>
        <w:rPr>
          <w:color w:val="000000" w:themeColor="text1"/>
        </w:rPr>
      </w:pPr>
      <w:r w:rsidRPr="00945B80">
        <w:rPr>
          <w:color w:val="000000" w:themeColor="text1"/>
        </w:rPr>
        <w:t>Sample assessment materials</w:t>
      </w:r>
    </w:p>
    <w:p w14:paraId="62037B1C" w14:textId="77777777" w:rsidR="00F71554" w:rsidRPr="00945B80" w:rsidRDefault="00F71554" w:rsidP="00F71554">
      <w:pPr>
        <w:rPr>
          <w:color w:val="000000" w:themeColor="text1"/>
          <w:szCs w:val="22"/>
        </w:rPr>
      </w:pPr>
      <w:r w:rsidRPr="00945B80">
        <w:rPr>
          <w:color w:val="000000" w:themeColor="text1"/>
          <w:szCs w:val="22"/>
        </w:rPr>
        <w:t>Please see sample assessment supplementary document.</w:t>
      </w:r>
    </w:p>
    <w:p w14:paraId="63D50B8D" w14:textId="4662B34D" w:rsidR="007F1D8E" w:rsidRDefault="007F1D8E" w:rsidP="00F71554"/>
    <w:sectPr w:rsidR="007F1D8E" w:rsidSect="00DE127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A193C"/>
    <w:multiLevelType w:val="hybridMultilevel"/>
    <w:tmpl w:val="86BECA86"/>
    <w:lvl w:ilvl="0" w:tplc="2766DE5A">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4304C06"/>
    <w:multiLevelType w:val="hybridMultilevel"/>
    <w:tmpl w:val="A63263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E485AB2"/>
    <w:multiLevelType w:val="multilevel"/>
    <w:tmpl w:val="7E062CAE"/>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54"/>
    <w:rsid w:val="007F1D8E"/>
    <w:rsid w:val="00DE127D"/>
    <w:rsid w:val="00F715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35B7A7B"/>
  <w15:chartTrackingRefBased/>
  <w15:docId w15:val="{81D6466D-9106-024C-BF6F-7FE37051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554"/>
    <w:pPr>
      <w:suppressAutoHyphens/>
    </w:pPr>
    <w:rPr>
      <w:rFonts w:ascii="Calibri" w:eastAsia="Times New Roman" w:hAnsi="Calibri" w:cs="Times New Roman"/>
      <w:sz w:val="22"/>
      <w:lang w:eastAsia="ar-SA"/>
    </w:rPr>
  </w:style>
  <w:style w:type="paragraph" w:styleId="Heading1">
    <w:name w:val="heading 1"/>
    <w:basedOn w:val="Normal"/>
    <w:next w:val="Normal"/>
    <w:link w:val="Heading1Char"/>
    <w:uiPriority w:val="9"/>
    <w:qFormat/>
    <w:rsid w:val="00F71554"/>
    <w:pPr>
      <w:keepNext/>
      <w:keepLines/>
      <w:numPr>
        <w:numId w:val="2"/>
      </w:numPr>
      <w:outlineLvl w:val="0"/>
    </w:pPr>
    <w:rPr>
      <w:rFonts w:asciiTheme="minorHAnsi" w:eastAsiaTheme="majorEastAsia" w:hAnsiTheme="minorHAnsi" w:cstheme="majorBidi"/>
      <w:b/>
      <w:sz w:val="28"/>
      <w:szCs w:val="32"/>
    </w:rPr>
  </w:style>
  <w:style w:type="paragraph" w:styleId="Heading2">
    <w:name w:val="heading 2"/>
    <w:basedOn w:val="Normal"/>
    <w:next w:val="Normal"/>
    <w:link w:val="Heading2Char"/>
    <w:unhideWhenUsed/>
    <w:qFormat/>
    <w:rsid w:val="00F71554"/>
    <w:pPr>
      <w:keepNext/>
      <w:numPr>
        <w:ilvl w:val="1"/>
        <w:numId w:val="2"/>
      </w:numPr>
      <w:outlineLvl w:val="1"/>
    </w:pPr>
    <w:rPr>
      <w:rFonts w:cs="Arial"/>
      <w:b/>
      <w:bCs/>
      <w:iCs/>
      <w:sz w:val="26"/>
      <w:szCs w:val="28"/>
    </w:rPr>
  </w:style>
  <w:style w:type="paragraph" w:styleId="Heading3">
    <w:name w:val="heading 3"/>
    <w:basedOn w:val="Normal"/>
    <w:next w:val="Normal"/>
    <w:link w:val="Heading3Char"/>
    <w:unhideWhenUsed/>
    <w:qFormat/>
    <w:rsid w:val="00F71554"/>
    <w:pPr>
      <w:keepNext/>
      <w:numPr>
        <w:ilvl w:val="2"/>
        <w:numId w:val="2"/>
      </w:numPr>
      <w:outlineLvl w:val="2"/>
    </w:pPr>
    <w:rPr>
      <w:rFonts w:cs="Arial"/>
      <w:b/>
      <w:bCs/>
      <w:sz w:val="24"/>
      <w:szCs w:val="26"/>
      <w:lang w:eastAsia="en-US"/>
    </w:rPr>
  </w:style>
  <w:style w:type="paragraph" w:styleId="Heading4">
    <w:name w:val="heading 4"/>
    <w:basedOn w:val="Normal"/>
    <w:next w:val="Normal"/>
    <w:link w:val="Heading4Char"/>
    <w:uiPriority w:val="9"/>
    <w:semiHidden/>
    <w:unhideWhenUsed/>
    <w:qFormat/>
    <w:rsid w:val="00F7155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7155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7155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7155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7155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7155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554"/>
    <w:rPr>
      <w:rFonts w:eastAsiaTheme="majorEastAsia" w:cstheme="majorBidi"/>
      <w:b/>
      <w:sz w:val="28"/>
      <w:szCs w:val="32"/>
      <w:lang w:eastAsia="ar-SA"/>
    </w:rPr>
  </w:style>
  <w:style w:type="character" w:customStyle="1" w:styleId="Heading2Char">
    <w:name w:val="Heading 2 Char"/>
    <w:basedOn w:val="DefaultParagraphFont"/>
    <w:link w:val="Heading2"/>
    <w:rsid w:val="00F71554"/>
    <w:rPr>
      <w:rFonts w:ascii="Calibri" w:eastAsia="Times New Roman" w:hAnsi="Calibri" w:cs="Arial"/>
      <w:b/>
      <w:bCs/>
      <w:iCs/>
      <w:sz w:val="26"/>
      <w:szCs w:val="28"/>
      <w:lang w:eastAsia="ar-SA"/>
    </w:rPr>
  </w:style>
  <w:style w:type="character" w:customStyle="1" w:styleId="Heading3Char">
    <w:name w:val="Heading 3 Char"/>
    <w:basedOn w:val="DefaultParagraphFont"/>
    <w:link w:val="Heading3"/>
    <w:rsid w:val="00F71554"/>
    <w:rPr>
      <w:rFonts w:ascii="Calibri" w:eastAsia="Times New Roman" w:hAnsi="Calibri" w:cs="Arial"/>
      <w:b/>
      <w:bCs/>
      <w:szCs w:val="26"/>
    </w:rPr>
  </w:style>
  <w:style w:type="character" w:customStyle="1" w:styleId="Heading4Char">
    <w:name w:val="Heading 4 Char"/>
    <w:basedOn w:val="DefaultParagraphFont"/>
    <w:link w:val="Heading4"/>
    <w:uiPriority w:val="9"/>
    <w:semiHidden/>
    <w:rsid w:val="00F71554"/>
    <w:rPr>
      <w:rFonts w:asciiTheme="majorHAnsi" w:eastAsiaTheme="majorEastAsia" w:hAnsiTheme="majorHAnsi" w:cstheme="majorBidi"/>
      <w:i/>
      <w:iCs/>
      <w:color w:val="2F5496" w:themeColor="accent1" w:themeShade="BF"/>
      <w:sz w:val="22"/>
      <w:lang w:eastAsia="ar-SA"/>
    </w:rPr>
  </w:style>
  <w:style w:type="character" w:customStyle="1" w:styleId="Heading5Char">
    <w:name w:val="Heading 5 Char"/>
    <w:basedOn w:val="DefaultParagraphFont"/>
    <w:link w:val="Heading5"/>
    <w:uiPriority w:val="9"/>
    <w:semiHidden/>
    <w:rsid w:val="00F71554"/>
    <w:rPr>
      <w:rFonts w:asciiTheme="majorHAnsi" w:eastAsiaTheme="majorEastAsia" w:hAnsiTheme="majorHAnsi" w:cstheme="majorBidi"/>
      <w:color w:val="2F5496" w:themeColor="accent1" w:themeShade="BF"/>
      <w:sz w:val="22"/>
      <w:lang w:eastAsia="ar-SA"/>
    </w:rPr>
  </w:style>
  <w:style w:type="character" w:customStyle="1" w:styleId="Heading6Char">
    <w:name w:val="Heading 6 Char"/>
    <w:basedOn w:val="DefaultParagraphFont"/>
    <w:link w:val="Heading6"/>
    <w:uiPriority w:val="9"/>
    <w:semiHidden/>
    <w:rsid w:val="00F71554"/>
    <w:rPr>
      <w:rFonts w:asciiTheme="majorHAnsi" w:eastAsiaTheme="majorEastAsia" w:hAnsiTheme="majorHAnsi" w:cstheme="majorBidi"/>
      <w:color w:val="1F3763" w:themeColor="accent1" w:themeShade="7F"/>
      <w:sz w:val="22"/>
      <w:lang w:eastAsia="ar-SA"/>
    </w:rPr>
  </w:style>
  <w:style w:type="character" w:customStyle="1" w:styleId="Heading7Char">
    <w:name w:val="Heading 7 Char"/>
    <w:basedOn w:val="DefaultParagraphFont"/>
    <w:link w:val="Heading7"/>
    <w:uiPriority w:val="9"/>
    <w:semiHidden/>
    <w:rsid w:val="00F71554"/>
    <w:rPr>
      <w:rFonts w:asciiTheme="majorHAnsi" w:eastAsiaTheme="majorEastAsia" w:hAnsiTheme="majorHAnsi" w:cstheme="majorBidi"/>
      <w:i/>
      <w:iCs/>
      <w:color w:val="1F3763" w:themeColor="accent1" w:themeShade="7F"/>
      <w:sz w:val="22"/>
      <w:lang w:eastAsia="ar-SA"/>
    </w:rPr>
  </w:style>
  <w:style w:type="character" w:customStyle="1" w:styleId="Heading8Char">
    <w:name w:val="Heading 8 Char"/>
    <w:basedOn w:val="DefaultParagraphFont"/>
    <w:link w:val="Heading8"/>
    <w:uiPriority w:val="9"/>
    <w:semiHidden/>
    <w:rsid w:val="00F71554"/>
    <w:rPr>
      <w:rFonts w:asciiTheme="majorHAnsi" w:eastAsiaTheme="majorEastAsia" w:hAnsiTheme="majorHAnsi" w:cstheme="majorBidi"/>
      <w:color w:val="272727" w:themeColor="text1" w:themeTint="D8"/>
      <w:sz w:val="21"/>
      <w:szCs w:val="21"/>
      <w:lang w:eastAsia="ar-SA"/>
    </w:rPr>
  </w:style>
  <w:style w:type="character" w:customStyle="1" w:styleId="Heading9Char">
    <w:name w:val="Heading 9 Char"/>
    <w:basedOn w:val="DefaultParagraphFont"/>
    <w:link w:val="Heading9"/>
    <w:uiPriority w:val="9"/>
    <w:semiHidden/>
    <w:rsid w:val="00F71554"/>
    <w:rPr>
      <w:rFonts w:asciiTheme="majorHAnsi" w:eastAsiaTheme="majorEastAsia" w:hAnsiTheme="majorHAnsi" w:cstheme="majorBidi"/>
      <w:i/>
      <w:iCs/>
      <w:color w:val="272727" w:themeColor="text1" w:themeTint="D8"/>
      <w:sz w:val="21"/>
      <w:szCs w:val="21"/>
      <w:lang w:eastAsia="ar-SA"/>
    </w:rPr>
  </w:style>
  <w:style w:type="table" w:styleId="TableGrid">
    <w:name w:val="Table Grid"/>
    <w:basedOn w:val="TableNormal"/>
    <w:uiPriority w:val="39"/>
    <w:qFormat/>
    <w:rsid w:val="00F71554"/>
    <w:pPr>
      <w:suppressAutoHyphens/>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71554"/>
    <w:pPr>
      <w:ind w:left="720"/>
      <w:contextualSpacing/>
    </w:pPr>
  </w:style>
  <w:style w:type="character" w:customStyle="1" w:styleId="ListParagraphChar">
    <w:name w:val="List Paragraph Char"/>
    <w:basedOn w:val="DefaultParagraphFont"/>
    <w:link w:val="ListParagraph"/>
    <w:uiPriority w:val="34"/>
    <w:qFormat/>
    <w:rsid w:val="00F71554"/>
    <w:rPr>
      <w:rFonts w:ascii="Calibri" w:eastAsia="Times New Roman" w:hAnsi="Calibri" w:cs="Times New Roman"/>
      <w:sz w:val="22"/>
      <w:lang w:eastAsia="ar-SA"/>
    </w:rPr>
  </w:style>
  <w:style w:type="paragraph" w:customStyle="1" w:styleId="AAValidation">
    <w:name w:val="AA__Validation"/>
    <w:basedOn w:val="Normal"/>
    <w:qFormat/>
    <w:rsid w:val="00F71554"/>
    <w:pPr>
      <w:suppressAutoHyphens w:val="0"/>
      <w:spacing w:line="360" w:lineRule="auto"/>
      <w:jc w:val="both"/>
    </w:pPr>
    <w:rPr>
      <w:rFonts w:asciiTheme="minorHAnsi" w:hAnsiTheme="minorHAnsi"/>
      <w:color w:val="000000"/>
      <w:szCs w:val="20"/>
      <w:lang w:val="en-GB" w:eastAsia="zh-CN"/>
    </w:rPr>
  </w:style>
  <w:style w:type="paragraph" w:styleId="BodyText">
    <w:name w:val="Body Text"/>
    <w:basedOn w:val="Normal"/>
    <w:link w:val="BodyTextChar"/>
    <w:rsid w:val="00F71554"/>
  </w:style>
  <w:style w:type="character" w:customStyle="1" w:styleId="BodyTextChar">
    <w:name w:val="Body Text Char"/>
    <w:basedOn w:val="DefaultParagraphFont"/>
    <w:link w:val="BodyText"/>
    <w:rsid w:val="00F71554"/>
    <w:rPr>
      <w:rFonts w:ascii="Calibri" w:eastAsia="Times New Roman" w:hAnsi="Calibri" w:cs="Times New Roman"/>
      <w:sz w:val="22"/>
      <w:lang w:eastAsia="ar-SA"/>
    </w:rPr>
  </w:style>
  <w:style w:type="paragraph" w:styleId="NormalWeb">
    <w:name w:val="Normal (Web)"/>
    <w:basedOn w:val="Normal"/>
    <w:uiPriority w:val="99"/>
    <w:unhideWhenUsed/>
    <w:rsid w:val="00F71554"/>
    <w:pPr>
      <w:suppressAutoHyphens w:val="0"/>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2028</Words>
  <Characters>11564</Characters>
  <Application>Microsoft Office Word</Application>
  <DocSecurity>0</DocSecurity>
  <Lines>96</Lines>
  <Paragraphs>27</Paragraphs>
  <ScaleCrop>false</ScaleCrop>
  <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Roberts</dc:creator>
  <cp:keywords/>
  <dc:description/>
  <cp:lastModifiedBy>Roisin Roberts</cp:lastModifiedBy>
  <cp:revision>1</cp:revision>
  <dcterms:created xsi:type="dcterms:W3CDTF">2021-08-06T15:11:00Z</dcterms:created>
  <dcterms:modified xsi:type="dcterms:W3CDTF">2021-08-06T15:12:00Z</dcterms:modified>
</cp:coreProperties>
</file>